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86" w:rsidRPr="001C6C62" w:rsidRDefault="008143C2" w:rsidP="00105DB5">
      <w:pPr>
        <w:jc w:val="center"/>
        <w:rPr>
          <w:b/>
          <w:lang w:val="vi-VN"/>
        </w:rPr>
      </w:pPr>
      <w:bookmarkStart w:id="0" w:name="_GoBack"/>
      <w:bookmarkEnd w:id="0"/>
      <w:r w:rsidRPr="001C6C62">
        <w:rPr>
          <w:b/>
          <w:lang w:val="en-US"/>
        </w:rPr>
        <w:t xml:space="preserve">TỔNG HỢP </w:t>
      </w:r>
      <w:r w:rsidR="00105DB5" w:rsidRPr="001C6C62">
        <w:rPr>
          <w:b/>
          <w:lang w:val="en-US"/>
        </w:rPr>
        <w:t>GIẢI TRÌNH Ý KIẾ</w:t>
      </w:r>
      <w:r w:rsidR="003C12C8" w:rsidRPr="001C6C62">
        <w:rPr>
          <w:b/>
          <w:lang w:val="en-US"/>
        </w:rPr>
        <w:t>N GÓP Ý</w:t>
      </w:r>
      <w:r w:rsidRPr="001C6C62">
        <w:rPr>
          <w:b/>
          <w:lang w:val="vi-VN"/>
        </w:rPr>
        <w:t xml:space="preserve"> CỦA CÁC DOANH NGHIỆP</w:t>
      </w:r>
    </w:p>
    <w:p w:rsidR="004B3A6A" w:rsidRPr="001C6C62" w:rsidRDefault="004B3A6A" w:rsidP="00105DB5">
      <w:pPr>
        <w:jc w:val="center"/>
        <w:rPr>
          <w:b/>
          <w:lang w:val="en-US"/>
        </w:rPr>
      </w:pPr>
    </w:p>
    <w:p w:rsidR="00646A05" w:rsidRPr="001C6C62" w:rsidRDefault="00646A05">
      <w:pPr>
        <w:rPr>
          <w:b/>
          <w:lang w:val="en-US"/>
        </w:rPr>
      </w:pPr>
      <w:r w:rsidRPr="001C6C62">
        <w:rPr>
          <w:b/>
          <w:lang w:val="en-US"/>
        </w:rPr>
        <w:t>I. CÁC NỘI DUNG TRONG DỰ THẢO NGHỊ ĐỊNH</w:t>
      </w:r>
    </w:p>
    <w:tbl>
      <w:tblPr>
        <w:tblStyle w:val="TableGrid"/>
        <w:tblW w:w="0" w:type="auto"/>
        <w:tblLook w:val="04A0" w:firstRow="1" w:lastRow="0" w:firstColumn="1" w:lastColumn="0" w:noHBand="0" w:noVBand="1"/>
      </w:tblPr>
      <w:tblGrid>
        <w:gridCol w:w="674"/>
        <w:gridCol w:w="1561"/>
        <w:gridCol w:w="4706"/>
        <w:gridCol w:w="7563"/>
      </w:tblGrid>
      <w:tr w:rsidR="00360592" w:rsidRPr="001C6C62" w:rsidTr="001A3FED">
        <w:trPr>
          <w:trHeight w:val="611"/>
          <w:tblHeader/>
        </w:trPr>
        <w:tc>
          <w:tcPr>
            <w:tcW w:w="674" w:type="dxa"/>
            <w:vAlign w:val="center"/>
          </w:tcPr>
          <w:p w:rsidR="00360592" w:rsidRPr="001C6C62" w:rsidRDefault="00360592" w:rsidP="008A2475">
            <w:pPr>
              <w:jc w:val="center"/>
              <w:rPr>
                <w:b/>
                <w:sz w:val="24"/>
                <w:lang w:val="en-US"/>
              </w:rPr>
            </w:pPr>
            <w:r w:rsidRPr="001C6C62">
              <w:rPr>
                <w:b/>
                <w:sz w:val="24"/>
                <w:lang w:val="en-US"/>
              </w:rPr>
              <w:t>STT</w:t>
            </w:r>
          </w:p>
        </w:tc>
        <w:tc>
          <w:tcPr>
            <w:tcW w:w="1561" w:type="dxa"/>
            <w:vAlign w:val="center"/>
          </w:tcPr>
          <w:p w:rsidR="00360592" w:rsidRPr="001C6C62" w:rsidRDefault="00360592" w:rsidP="008A2475">
            <w:pPr>
              <w:jc w:val="center"/>
              <w:rPr>
                <w:b/>
                <w:sz w:val="24"/>
                <w:lang w:val="en-US"/>
              </w:rPr>
            </w:pPr>
            <w:r w:rsidRPr="001C6C62">
              <w:rPr>
                <w:b/>
                <w:sz w:val="24"/>
                <w:lang w:val="en-US"/>
              </w:rPr>
              <w:t>Nội dung</w:t>
            </w:r>
          </w:p>
        </w:tc>
        <w:tc>
          <w:tcPr>
            <w:tcW w:w="4706" w:type="dxa"/>
          </w:tcPr>
          <w:p w:rsidR="00360592" w:rsidRPr="001C6C62" w:rsidRDefault="00360592" w:rsidP="00360592">
            <w:pPr>
              <w:jc w:val="center"/>
              <w:rPr>
                <w:b/>
                <w:sz w:val="24"/>
                <w:lang w:val="en-US"/>
              </w:rPr>
            </w:pPr>
            <w:r w:rsidRPr="001C6C62">
              <w:rPr>
                <w:b/>
                <w:sz w:val="24"/>
                <w:lang w:val="en-US"/>
              </w:rPr>
              <w:t>Đề xuất của doanh nghiệp</w:t>
            </w:r>
          </w:p>
        </w:tc>
        <w:tc>
          <w:tcPr>
            <w:tcW w:w="7563" w:type="dxa"/>
          </w:tcPr>
          <w:p w:rsidR="00360592" w:rsidRPr="001C6C62" w:rsidRDefault="00360592" w:rsidP="00105DB5">
            <w:pPr>
              <w:jc w:val="center"/>
              <w:rPr>
                <w:b/>
                <w:sz w:val="24"/>
                <w:lang w:val="en-US"/>
              </w:rPr>
            </w:pPr>
            <w:r w:rsidRPr="001C6C62">
              <w:rPr>
                <w:b/>
                <w:sz w:val="24"/>
                <w:lang w:val="en-US"/>
              </w:rPr>
              <w:t>Giải trình của CQQL</w:t>
            </w:r>
          </w:p>
        </w:tc>
      </w:tr>
      <w:tr w:rsidR="005F497E" w:rsidRPr="00CA2D32" w:rsidTr="001A3FED">
        <w:tc>
          <w:tcPr>
            <w:tcW w:w="674" w:type="dxa"/>
            <w:vAlign w:val="center"/>
          </w:tcPr>
          <w:p w:rsidR="005F497E" w:rsidRPr="001C6C62" w:rsidRDefault="005F497E" w:rsidP="006C44CB">
            <w:pPr>
              <w:jc w:val="center"/>
              <w:rPr>
                <w:b/>
                <w:sz w:val="24"/>
                <w:lang w:val="en-US"/>
              </w:rPr>
            </w:pPr>
            <w:r w:rsidRPr="001C6C62">
              <w:rPr>
                <w:b/>
                <w:sz w:val="24"/>
                <w:lang w:val="en-US"/>
              </w:rPr>
              <w:t>1</w:t>
            </w:r>
          </w:p>
        </w:tc>
        <w:tc>
          <w:tcPr>
            <w:tcW w:w="1561" w:type="dxa"/>
            <w:vAlign w:val="center"/>
          </w:tcPr>
          <w:p w:rsidR="005F497E" w:rsidRPr="001C6C62" w:rsidRDefault="005F497E" w:rsidP="006C44CB">
            <w:pPr>
              <w:jc w:val="center"/>
              <w:rPr>
                <w:b/>
                <w:sz w:val="24"/>
                <w:lang w:val="en-US"/>
              </w:rPr>
            </w:pPr>
            <w:r w:rsidRPr="001C6C62">
              <w:rPr>
                <w:b/>
                <w:sz w:val="24"/>
                <w:lang w:val="en-US"/>
              </w:rPr>
              <w:t>T</w:t>
            </w:r>
            <w:r w:rsidR="008A5050">
              <w:rPr>
                <w:b/>
                <w:sz w:val="24"/>
                <w:lang w:val="en-US"/>
              </w:rPr>
              <w:t>ên</w:t>
            </w:r>
            <w:r w:rsidRPr="001C6C62">
              <w:rPr>
                <w:b/>
                <w:sz w:val="24"/>
                <w:lang w:val="en-US"/>
              </w:rPr>
              <w:t xml:space="preserve"> </w:t>
            </w:r>
            <w:r w:rsidR="008A5050">
              <w:rPr>
                <w:b/>
                <w:sz w:val="24"/>
                <w:lang w:val="en-US"/>
              </w:rPr>
              <w:t>N</w:t>
            </w:r>
            <w:r w:rsidRPr="001C6C62">
              <w:rPr>
                <w:b/>
                <w:sz w:val="24"/>
                <w:lang w:val="en-US"/>
              </w:rPr>
              <w:t>ghị định</w:t>
            </w:r>
          </w:p>
        </w:tc>
        <w:tc>
          <w:tcPr>
            <w:tcW w:w="4706" w:type="dxa"/>
          </w:tcPr>
          <w:p w:rsidR="005F497E" w:rsidRPr="001C6C62" w:rsidRDefault="005F497E" w:rsidP="006C44CB">
            <w:pPr>
              <w:rPr>
                <w:i/>
                <w:sz w:val="24"/>
                <w:lang w:val="en-US"/>
              </w:rPr>
            </w:pPr>
            <w:r w:rsidRPr="001C6C62">
              <w:rPr>
                <w:b/>
                <w:sz w:val="24"/>
                <w:lang w:val="en-US"/>
              </w:rPr>
              <w:t xml:space="preserve">Viettel: </w:t>
            </w:r>
            <w:r w:rsidRPr="001C6C62">
              <w:rPr>
                <w:i/>
                <w:sz w:val="24"/>
                <w:lang w:val="en-US"/>
              </w:rPr>
              <w:t xml:space="preserve">Quy định một số nội dung về quản lý, sử dụng tần số vô tuyến điện </w:t>
            </w:r>
            <w:bookmarkStart w:id="1" w:name="OLE_LINK45"/>
            <w:bookmarkStart w:id="2" w:name="OLE_LINK46"/>
            <w:r w:rsidRPr="001C6C62">
              <w:rPr>
                <w:i/>
                <w:sz w:val="24"/>
                <w:lang w:val="en-US"/>
              </w:rPr>
              <w:t xml:space="preserve">dành cho hệ thống thông tin di động IMT </w:t>
            </w:r>
            <w:bookmarkEnd w:id="1"/>
            <w:bookmarkEnd w:id="2"/>
            <w:r w:rsidRPr="001C6C62">
              <w:rPr>
                <w:i/>
                <w:sz w:val="24"/>
                <w:lang w:val="en-US"/>
              </w:rPr>
              <w:t>được cấp phép thông qua đấu giá</w:t>
            </w:r>
          </w:p>
          <w:p w:rsidR="005F497E" w:rsidRPr="001C6C62" w:rsidRDefault="005F497E" w:rsidP="006C44CB">
            <w:pPr>
              <w:rPr>
                <w:sz w:val="24"/>
                <w:lang w:val="en-US"/>
              </w:rPr>
            </w:pPr>
            <w:r w:rsidRPr="001C6C62">
              <w:rPr>
                <w:sz w:val="24"/>
                <w:lang w:val="en-US"/>
              </w:rPr>
              <w:t>Lý do: Làm rõ phạm vi của Nghị định, đề người đọc có thể xác định ngay nội dung của Nghị định</w:t>
            </w:r>
          </w:p>
        </w:tc>
        <w:tc>
          <w:tcPr>
            <w:tcW w:w="7563" w:type="dxa"/>
          </w:tcPr>
          <w:p w:rsidR="00B66587" w:rsidRPr="001C6C62" w:rsidRDefault="00B66587" w:rsidP="00B66587">
            <w:pPr>
              <w:rPr>
                <w:sz w:val="24"/>
                <w:lang w:val="en-US"/>
              </w:rPr>
            </w:pPr>
            <w:r w:rsidRPr="001C6C62">
              <w:rPr>
                <w:sz w:val="24"/>
                <w:lang w:val="en-US"/>
              </w:rPr>
              <w:t>Tiếp thu. Sửa đổi như sau:</w:t>
            </w:r>
          </w:p>
          <w:p w:rsidR="00B66587" w:rsidRPr="001C6C62" w:rsidRDefault="00B66587" w:rsidP="00B66587">
            <w:pPr>
              <w:rPr>
                <w:b/>
                <w:bCs/>
                <w:sz w:val="24"/>
                <w:lang w:val="vi-VN"/>
              </w:rPr>
            </w:pPr>
            <w:r w:rsidRPr="001C6C62">
              <w:rPr>
                <w:b/>
                <w:bCs/>
                <w:sz w:val="24"/>
                <w:lang w:val="en-US"/>
              </w:rPr>
              <w:t>Nghị định về thu tiền sử dụng tần số vô tuyến điện</w:t>
            </w:r>
            <w:r w:rsidR="007B727E">
              <w:rPr>
                <w:b/>
                <w:bCs/>
                <w:sz w:val="24"/>
                <w:lang w:val="en-US"/>
              </w:rPr>
              <w:t>,</w:t>
            </w:r>
            <w:r w:rsidRPr="001C6C62">
              <w:rPr>
                <w:b/>
                <w:bCs/>
                <w:sz w:val="24"/>
                <w:lang w:val="en-US"/>
              </w:rPr>
              <w:t xml:space="preserve"> đấu giá</w:t>
            </w:r>
            <w:r w:rsidR="007B727E">
              <w:rPr>
                <w:b/>
                <w:bCs/>
                <w:sz w:val="24"/>
                <w:lang w:val="en-US"/>
              </w:rPr>
              <w:t>,</w:t>
            </w:r>
            <w:r w:rsidRPr="001C6C62">
              <w:rPr>
                <w:b/>
                <w:bCs/>
                <w:sz w:val="24"/>
                <w:lang w:val="en-US"/>
              </w:rPr>
              <w:t xml:space="preserve"> chuyển nhượng quyền sử dụng tần số vô tuyến điện</w:t>
            </w:r>
            <w:r w:rsidR="007B727E">
              <w:rPr>
                <w:b/>
                <w:bCs/>
                <w:sz w:val="24"/>
                <w:lang w:val="en-US"/>
              </w:rPr>
              <w:t xml:space="preserve"> đối với băng tần</w:t>
            </w:r>
            <w:r w:rsidRPr="001C6C62">
              <w:rPr>
                <w:b/>
                <w:bCs/>
                <w:sz w:val="24"/>
                <w:lang w:val="vi-VN"/>
              </w:rPr>
              <w:t>.</w:t>
            </w:r>
          </w:p>
          <w:p w:rsidR="005F497E" w:rsidRPr="001C6C62" w:rsidRDefault="00B66587" w:rsidP="007B727E">
            <w:pPr>
              <w:rPr>
                <w:sz w:val="24"/>
                <w:lang w:val="vi-VN"/>
              </w:rPr>
            </w:pPr>
            <w:r w:rsidRPr="001C6C62">
              <w:rPr>
                <w:sz w:val="24"/>
                <w:lang w:val="vi-VN"/>
              </w:rPr>
              <w:t>Lý do: Nghị định hướng dẫn khoản 2 Điều 122 Luật Quản lý, sử dụng tài sản công, đặc biệt về việc thu tiền sử dụng tần số vô tuyến điện khi cấp quyền sử dụng theo các phương thức khác nhau được quy định tại Luật Tần số vô tuyến điện như đấu giá, thi tuyển và các trường hợp gia hạn, cấp mới khi giấy phép đã cấp hết hạn đối với các băng tần có giá trị thương mại cao</w:t>
            </w:r>
            <w:r w:rsidR="00693E67">
              <w:rPr>
                <w:sz w:val="24"/>
                <w:lang w:val="en-US"/>
              </w:rPr>
              <w:t>, có nhu cầu sử dụng vượt quá khả năng phân bổ xác định trong quy hoạch tần số vô tuyến điện</w:t>
            </w:r>
            <w:r w:rsidRPr="001C6C62">
              <w:rPr>
                <w:sz w:val="24"/>
                <w:lang w:val="vi-VN"/>
              </w:rPr>
              <w:t>; đồng thời hướng dẫn thực hiện việc cấp quyền sử dụng tần số vô tuyến điện thông qua đấu giá, bảo đảm phù hợp với Luật Đầu tư, Luật Đấu giá tài sản.</w:t>
            </w:r>
          </w:p>
        </w:tc>
      </w:tr>
      <w:tr w:rsidR="005F497E" w:rsidRPr="00CA2D32" w:rsidTr="001A3FED">
        <w:tc>
          <w:tcPr>
            <w:tcW w:w="674" w:type="dxa"/>
            <w:vAlign w:val="center"/>
          </w:tcPr>
          <w:p w:rsidR="005F497E" w:rsidRPr="001C6C62" w:rsidRDefault="007A0BCB" w:rsidP="006C44CB">
            <w:pPr>
              <w:jc w:val="center"/>
              <w:rPr>
                <w:b/>
                <w:sz w:val="24"/>
                <w:lang w:val="vi-VN"/>
              </w:rPr>
            </w:pPr>
            <w:r w:rsidRPr="001C6C62">
              <w:rPr>
                <w:b/>
                <w:sz w:val="24"/>
                <w:lang w:val="vi-VN"/>
              </w:rPr>
              <w:t>2</w:t>
            </w:r>
          </w:p>
        </w:tc>
        <w:tc>
          <w:tcPr>
            <w:tcW w:w="1561" w:type="dxa"/>
            <w:vAlign w:val="center"/>
          </w:tcPr>
          <w:p w:rsidR="005F497E" w:rsidRPr="001C6C62" w:rsidRDefault="005F497E" w:rsidP="006C44CB">
            <w:pPr>
              <w:jc w:val="center"/>
              <w:rPr>
                <w:b/>
                <w:sz w:val="24"/>
                <w:lang w:val="en-US"/>
              </w:rPr>
            </w:pPr>
            <w:r w:rsidRPr="001C6C62">
              <w:rPr>
                <w:b/>
                <w:sz w:val="24"/>
                <w:lang w:val="en-US"/>
              </w:rPr>
              <w:t>Phạm vi điều chỉnh</w:t>
            </w:r>
          </w:p>
        </w:tc>
        <w:tc>
          <w:tcPr>
            <w:tcW w:w="4706" w:type="dxa"/>
          </w:tcPr>
          <w:p w:rsidR="005F497E" w:rsidRPr="001C6C62" w:rsidRDefault="005F497E" w:rsidP="006C44CB">
            <w:pPr>
              <w:rPr>
                <w:i/>
                <w:sz w:val="24"/>
                <w:lang w:val="en-US"/>
              </w:rPr>
            </w:pPr>
            <w:r w:rsidRPr="001C6C62">
              <w:rPr>
                <w:b/>
                <w:sz w:val="24"/>
                <w:lang w:val="en-US"/>
              </w:rPr>
              <w:t xml:space="preserve">Viettel: </w:t>
            </w:r>
            <w:r w:rsidRPr="001C6C62">
              <w:rPr>
                <w:i/>
                <w:sz w:val="24"/>
                <w:lang w:val="en-US"/>
              </w:rPr>
              <w:t>Đề nghị thay thế toàn bộ thuật ngữ “Mức thu” bằng “Đơn giá khởi điểm” trong toàn văn bản</w:t>
            </w:r>
          </w:p>
          <w:p w:rsidR="005F497E" w:rsidRPr="001C6C62" w:rsidRDefault="005F497E" w:rsidP="006C44CB">
            <w:pPr>
              <w:rPr>
                <w:sz w:val="24"/>
                <w:lang w:val="en-US"/>
              </w:rPr>
            </w:pPr>
            <w:r w:rsidRPr="001C6C62">
              <w:rPr>
                <w:sz w:val="24"/>
                <w:lang w:val="en-US"/>
              </w:rPr>
              <w:t>Lý do: Mục tiêu chính của Nghị định này là để xác định đơn giá khởi điểm để đưa vào đấu giá.</w:t>
            </w:r>
          </w:p>
          <w:p w:rsidR="005F497E" w:rsidRPr="001C6C62" w:rsidRDefault="005F497E" w:rsidP="006C44CB">
            <w:pPr>
              <w:rPr>
                <w:sz w:val="24"/>
                <w:lang w:val="en-US"/>
              </w:rPr>
            </w:pPr>
            <w:r w:rsidRPr="001C6C62">
              <w:rPr>
                <w:sz w:val="24"/>
                <w:lang w:val="en-US"/>
              </w:rPr>
              <w:t>Các nội dung khác là bổ sung, làm rõ phạm vi Nghị định.</w:t>
            </w:r>
          </w:p>
        </w:tc>
        <w:tc>
          <w:tcPr>
            <w:tcW w:w="7563" w:type="dxa"/>
          </w:tcPr>
          <w:p w:rsidR="00B66587" w:rsidRPr="001C6C62" w:rsidRDefault="00AC345B" w:rsidP="00B66587">
            <w:pPr>
              <w:rPr>
                <w:sz w:val="24"/>
                <w:lang w:val="en-US"/>
              </w:rPr>
            </w:pPr>
            <w:r>
              <w:rPr>
                <w:sz w:val="24"/>
                <w:lang w:val="en-US"/>
              </w:rPr>
              <w:t>M</w:t>
            </w:r>
            <w:r w:rsidR="00B66587" w:rsidRPr="001C6C62">
              <w:rPr>
                <w:sz w:val="24"/>
                <w:lang w:val="en-US"/>
              </w:rPr>
              <w:t xml:space="preserve">ức thu </w:t>
            </w:r>
            <w:r w:rsidR="00EF240A">
              <w:rPr>
                <w:sz w:val="24"/>
                <w:lang w:val="en-US"/>
              </w:rPr>
              <w:t>được áp dụng</w:t>
            </w:r>
            <w:r w:rsidR="00B66587" w:rsidRPr="001C6C62">
              <w:rPr>
                <w:sz w:val="24"/>
                <w:lang w:val="en-US"/>
              </w:rPr>
              <w:t xml:space="preserve"> cho cả trường hợp đấu giá và không đấu giá, cụ thể:</w:t>
            </w:r>
          </w:p>
          <w:p w:rsidR="00B66587" w:rsidRPr="001C6C62" w:rsidRDefault="00B66587" w:rsidP="00B66587">
            <w:pPr>
              <w:rPr>
                <w:sz w:val="24"/>
                <w:lang w:val="en-US"/>
              </w:rPr>
            </w:pPr>
            <w:r w:rsidRPr="001C6C62">
              <w:rPr>
                <w:sz w:val="24"/>
                <w:lang w:val="en-US"/>
              </w:rPr>
              <w:t>(1) Trong trường hợp đấu giá là tiền trúng đấu gi</w:t>
            </w:r>
            <w:r w:rsidR="0026405A">
              <w:rPr>
                <w:sz w:val="24"/>
                <w:lang w:val="en-US"/>
              </w:rPr>
              <w:t>á</w:t>
            </w:r>
            <w:r w:rsidRPr="001C6C62">
              <w:rPr>
                <w:sz w:val="24"/>
                <w:lang w:val="en-US"/>
              </w:rPr>
              <w:t xml:space="preserve">; </w:t>
            </w:r>
          </w:p>
          <w:p w:rsidR="005F497E" w:rsidRPr="001C6C62" w:rsidRDefault="00B66587">
            <w:pPr>
              <w:rPr>
                <w:sz w:val="24"/>
                <w:lang w:val="en-US"/>
              </w:rPr>
            </w:pPr>
            <w:r w:rsidRPr="001C6C62">
              <w:rPr>
                <w:sz w:val="24"/>
                <w:lang w:val="en-US"/>
              </w:rPr>
              <w:t>(2) Trong trường hợp gia hạn</w:t>
            </w:r>
            <w:r w:rsidR="00663FBD">
              <w:rPr>
                <w:sz w:val="24"/>
                <w:lang w:val="en-US"/>
              </w:rPr>
              <w:t xml:space="preserve"> giấy phép sử dụng băng tần</w:t>
            </w:r>
            <w:r w:rsidRPr="001C6C62">
              <w:rPr>
                <w:sz w:val="24"/>
                <w:lang w:val="en-US"/>
              </w:rPr>
              <w:t>, cấp mới</w:t>
            </w:r>
            <w:r w:rsidR="00663FBD">
              <w:rPr>
                <w:sz w:val="24"/>
                <w:lang w:val="en-US"/>
              </w:rPr>
              <w:t xml:space="preserve"> giấy phép sử dụng băng tần sau</w:t>
            </w:r>
            <w:r w:rsidRPr="001C6C62">
              <w:rPr>
                <w:sz w:val="24"/>
                <w:lang w:val="en-US"/>
              </w:rPr>
              <w:t xml:space="preserve"> khi giấy phép </w:t>
            </w:r>
            <w:r w:rsidR="00663FBD">
              <w:rPr>
                <w:sz w:val="24"/>
                <w:lang w:val="en-US"/>
              </w:rPr>
              <w:t>đã</w:t>
            </w:r>
            <w:r w:rsidRPr="001C6C62">
              <w:rPr>
                <w:sz w:val="24"/>
                <w:lang w:val="en-US"/>
              </w:rPr>
              <w:t xml:space="preserve"> cấp hết hạn</w:t>
            </w:r>
            <w:r w:rsidR="00663FBD">
              <w:rPr>
                <w:sz w:val="24"/>
                <w:lang w:val="en-US"/>
              </w:rPr>
              <w:t xml:space="preserve"> sử dụng</w:t>
            </w:r>
            <w:r w:rsidR="0026405A">
              <w:rPr>
                <w:sz w:val="24"/>
                <w:lang w:val="en-US"/>
              </w:rPr>
              <w:t xml:space="preserve"> thì mức thu</w:t>
            </w:r>
            <w:r w:rsidRPr="001C6C62">
              <w:rPr>
                <w:sz w:val="24"/>
                <w:lang w:val="en-US"/>
              </w:rPr>
              <w:t xml:space="preserve"> được tính </w:t>
            </w:r>
            <w:r w:rsidR="00AC345B">
              <w:rPr>
                <w:sz w:val="24"/>
                <w:lang w:val="en-US"/>
              </w:rPr>
              <w:t xml:space="preserve">bằng </w:t>
            </w:r>
            <w:r w:rsidR="0026405A">
              <w:rPr>
                <w:sz w:val="24"/>
                <w:lang w:val="en-US"/>
              </w:rPr>
              <w:t>đơn giá nhân với độ rộng băng tần</w:t>
            </w:r>
            <w:r w:rsidR="00E54080">
              <w:rPr>
                <w:sz w:val="24"/>
                <w:lang w:val="en-US"/>
              </w:rPr>
              <w:t xml:space="preserve"> hoặc kênh tần và</w:t>
            </w:r>
            <w:r w:rsidR="0026405A">
              <w:rPr>
                <w:sz w:val="24"/>
                <w:lang w:val="en-US"/>
              </w:rPr>
              <w:t xml:space="preserve"> thời gian sử dụng giấy phép.</w:t>
            </w:r>
          </w:p>
        </w:tc>
      </w:tr>
      <w:tr w:rsidR="00DC03AD" w:rsidRPr="00CA2D32" w:rsidTr="001A3FED">
        <w:trPr>
          <w:trHeight w:val="79"/>
        </w:trPr>
        <w:tc>
          <w:tcPr>
            <w:tcW w:w="674" w:type="dxa"/>
            <w:vMerge w:val="restart"/>
            <w:vAlign w:val="center"/>
          </w:tcPr>
          <w:p w:rsidR="00DC03AD" w:rsidRPr="00AB2156" w:rsidRDefault="00DC03AD" w:rsidP="009A67C1">
            <w:pPr>
              <w:jc w:val="center"/>
              <w:rPr>
                <w:b/>
                <w:sz w:val="24"/>
                <w:lang w:val="en-US"/>
              </w:rPr>
            </w:pPr>
            <w:r>
              <w:rPr>
                <w:b/>
                <w:sz w:val="24"/>
                <w:lang w:val="vi-VN"/>
              </w:rPr>
              <w:t>3</w:t>
            </w:r>
          </w:p>
        </w:tc>
        <w:tc>
          <w:tcPr>
            <w:tcW w:w="1561" w:type="dxa"/>
            <w:vMerge w:val="restart"/>
            <w:vAlign w:val="center"/>
          </w:tcPr>
          <w:p w:rsidR="00DC03AD" w:rsidRPr="008A5050" w:rsidRDefault="00DC03AD" w:rsidP="009A67C1">
            <w:pPr>
              <w:jc w:val="center"/>
              <w:rPr>
                <w:b/>
                <w:sz w:val="24"/>
                <w:lang w:val="vi-VN"/>
              </w:rPr>
            </w:pPr>
            <w:r>
              <w:rPr>
                <w:b/>
                <w:sz w:val="24"/>
                <w:lang w:val="vi-VN"/>
              </w:rPr>
              <w:t>T</w:t>
            </w:r>
            <w:r w:rsidRPr="008A5050">
              <w:rPr>
                <w:b/>
                <w:sz w:val="24"/>
                <w:lang w:val="vi-VN"/>
              </w:rPr>
              <w:t xml:space="preserve">iền sử dụng băng tần </w:t>
            </w:r>
          </w:p>
        </w:tc>
        <w:tc>
          <w:tcPr>
            <w:tcW w:w="4706" w:type="dxa"/>
          </w:tcPr>
          <w:p w:rsidR="00DC03AD" w:rsidRPr="008A5050" w:rsidRDefault="00DC03AD" w:rsidP="009A67C1">
            <w:pPr>
              <w:rPr>
                <w:sz w:val="24"/>
                <w:lang w:val="vi-VN"/>
              </w:rPr>
            </w:pPr>
            <w:r w:rsidRPr="008A5050">
              <w:rPr>
                <w:b/>
                <w:bCs/>
                <w:sz w:val="24"/>
                <w:lang w:val="vi-VN"/>
              </w:rPr>
              <w:t xml:space="preserve">Viettel: </w:t>
            </w:r>
            <w:r w:rsidRPr="008A5050">
              <w:rPr>
                <w:bCs/>
                <w:i/>
                <w:sz w:val="24"/>
                <w:lang w:val="vi-VN"/>
              </w:rPr>
              <w:t>thay “mức thu nhân với độ rộng băng tần, kênh tần số tương ứng” thành “đơn giá khởi điểm nhân với độ rộng băng tần nhân với dân số</w:t>
            </w:r>
            <w:r w:rsidRPr="001C6C62">
              <w:rPr>
                <w:bCs/>
                <w:i/>
                <w:sz w:val="24"/>
                <w:lang w:val="vi-VN"/>
              </w:rPr>
              <w:t xml:space="preserve"> </w:t>
            </w:r>
            <w:r w:rsidRPr="008A5050">
              <w:rPr>
                <w:bCs/>
                <w:i/>
                <w:sz w:val="24"/>
                <w:lang w:val="vi-VN"/>
              </w:rPr>
              <w:t>Việt Nam nhân với thời gian cấp”.</w:t>
            </w:r>
          </w:p>
        </w:tc>
        <w:tc>
          <w:tcPr>
            <w:tcW w:w="7563" w:type="dxa"/>
          </w:tcPr>
          <w:p w:rsidR="00DC03AD" w:rsidRPr="008A5050" w:rsidRDefault="00DC03AD" w:rsidP="009A67C1">
            <w:pPr>
              <w:rPr>
                <w:sz w:val="24"/>
                <w:lang w:val="vi-VN"/>
              </w:rPr>
            </w:pPr>
            <w:r w:rsidRPr="008A5050">
              <w:rPr>
                <w:sz w:val="24"/>
                <w:lang w:val="vi-VN"/>
              </w:rPr>
              <w:t>Đề xuất giữ nguyên nội dung trong dự thảo.</w:t>
            </w:r>
          </w:p>
          <w:p w:rsidR="00DC03AD" w:rsidRPr="008A5050" w:rsidRDefault="00DC03AD" w:rsidP="009A67C1">
            <w:pPr>
              <w:rPr>
                <w:sz w:val="24"/>
                <w:lang w:val="vi-VN"/>
              </w:rPr>
            </w:pPr>
            <w:r w:rsidRPr="008A5050">
              <w:rPr>
                <w:sz w:val="24"/>
                <w:lang w:val="vi-VN"/>
              </w:rPr>
              <w:t>Lý do: mức thu này đã tính đến dân số VN, thời gian cấp phép.</w:t>
            </w:r>
          </w:p>
        </w:tc>
      </w:tr>
      <w:tr w:rsidR="00DC03AD" w:rsidRPr="000A094E" w:rsidTr="001A3FED">
        <w:trPr>
          <w:trHeight w:val="79"/>
        </w:trPr>
        <w:tc>
          <w:tcPr>
            <w:tcW w:w="674" w:type="dxa"/>
            <w:vMerge/>
            <w:vAlign w:val="center"/>
          </w:tcPr>
          <w:p w:rsidR="00DC03AD" w:rsidRDefault="00DC03AD" w:rsidP="009A67C1">
            <w:pPr>
              <w:jc w:val="center"/>
              <w:rPr>
                <w:b/>
                <w:sz w:val="24"/>
                <w:lang w:val="vi-VN"/>
              </w:rPr>
            </w:pPr>
          </w:p>
        </w:tc>
        <w:tc>
          <w:tcPr>
            <w:tcW w:w="1561" w:type="dxa"/>
            <w:vMerge/>
            <w:vAlign w:val="center"/>
          </w:tcPr>
          <w:p w:rsidR="00DC03AD" w:rsidRDefault="00DC03AD" w:rsidP="009A67C1">
            <w:pPr>
              <w:jc w:val="center"/>
              <w:rPr>
                <w:b/>
                <w:sz w:val="24"/>
                <w:lang w:val="vi-VN"/>
              </w:rPr>
            </w:pPr>
          </w:p>
        </w:tc>
        <w:tc>
          <w:tcPr>
            <w:tcW w:w="4706" w:type="dxa"/>
          </w:tcPr>
          <w:p w:rsidR="00DC03AD" w:rsidRPr="00DC03AD" w:rsidRDefault="00DC03AD" w:rsidP="00DC03AD">
            <w:pPr>
              <w:rPr>
                <w:sz w:val="24"/>
                <w:lang w:val="vi-VN"/>
              </w:rPr>
            </w:pPr>
            <w:r w:rsidRPr="00DC03AD">
              <w:rPr>
                <w:b/>
                <w:bCs/>
                <w:sz w:val="24"/>
                <w:lang w:val="vi-VN"/>
              </w:rPr>
              <w:t>Viettel</w:t>
            </w:r>
            <w:r w:rsidRPr="00DC03AD">
              <w:rPr>
                <w:sz w:val="24"/>
                <w:lang w:val="vi-VN"/>
              </w:rPr>
              <w:t xml:space="preserve"> đề xuất sửa đổi Khoản 2 Điều 4 thành:</w:t>
            </w:r>
          </w:p>
          <w:p w:rsidR="00DC03AD" w:rsidRPr="00DC03AD" w:rsidRDefault="00DC03AD" w:rsidP="00DC03AD">
            <w:pPr>
              <w:rPr>
                <w:sz w:val="24"/>
                <w:lang w:val="vi-VN"/>
              </w:rPr>
            </w:pPr>
            <w:r w:rsidRPr="00DC03AD">
              <w:rPr>
                <w:sz w:val="24"/>
                <w:lang w:val="vi-VN"/>
              </w:rPr>
              <w:t xml:space="preserve">“Doanh nghiệp được gia hạn Giấy phép với thời hạn bằng thời hạn cấp phép ban đầu. Không thu thêm bất kỳ loại phí nào khi cấp </w:t>
            </w:r>
            <w:r w:rsidRPr="00DC03AD">
              <w:rPr>
                <w:sz w:val="24"/>
                <w:lang w:val="vi-VN"/>
              </w:rPr>
              <w:lastRenderedPageBreak/>
              <w:t>lại, chỉ duy trì phí thường niên và thực hiện đúng các cam kết về vùng phủ, chất lượng dịch vụ theo yêu cầu của BTTTT.”</w:t>
            </w:r>
          </w:p>
          <w:p w:rsidR="00DC03AD" w:rsidRPr="00DC03AD" w:rsidRDefault="00DC03AD" w:rsidP="00DC03AD">
            <w:pPr>
              <w:rPr>
                <w:sz w:val="24"/>
                <w:lang w:val="vi-VN"/>
              </w:rPr>
            </w:pPr>
            <w:r w:rsidRPr="00DC03AD">
              <w:rPr>
                <w:sz w:val="24"/>
                <w:lang w:val="vi-VN"/>
              </w:rPr>
              <w:t>Lý do sửa đổi, bổ sung:</w:t>
            </w:r>
          </w:p>
          <w:p w:rsidR="00DC03AD" w:rsidRDefault="00DC03AD" w:rsidP="00DC03AD">
            <w:pPr>
              <w:rPr>
                <w:sz w:val="24"/>
                <w:lang w:val="vi-VN"/>
              </w:rPr>
            </w:pPr>
            <w:r w:rsidRPr="00DC03AD">
              <w:rPr>
                <w:sz w:val="24"/>
                <w:lang w:val="vi-VN"/>
              </w:rPr>
              <w:t>-</w:t>
            </w:r>
            <w:r>
              <w:rPr>
                <w:sz w:val="24"/>
                <w:lang w:val="vi-VN"/>
              </w:rPr>
              <w:t xml:space="preserve"> </w:t>
            </w:r>
            <w:r w:rsidRPr="00DC03AD">
              <w:rPr>
                <w:sz w:val="24"/>
                <w:lang w:val="vi-VN"/>
              </w:rPr>
              <w:t>Hiện trên Thế giới có Mỹ, Trung Quốc đang cấp lại không thu phí.</w:t>
            </w:r>
          </w:p>
          <w:p w:rsidR="00DC03AD" w:rsidRPr="008A5050" w:rsidRDefault="00DC03AD" w:rsidP="00DC03AD">
            <w:pPr>
              <w:rPr>
                <w:b/>
                <w:bCs/>
                <w:sz w:val="24"/>
                <w:lang w:val="vi-VN"/>
              </w:rPr>
            </w:pPr>
            <w:r w:rsidRPr="00DC03AD">
              <w:rPr>
                <w:sz w:val="24"/>
                <w:lang w:val="vi-VN"/>
              </w:rPr>
              <w:t>-</w:t>
            </w:r>
            <w:r>
              <w:rPr>
                <w:sz w:val="24"/>
                <w:lang w:val="vi-VN"/>
              </w:rPr>
              <w:t xml:space="preserve"> </w:t>
            </w:r>
            <w:r w:rsidRPr="00DC03AD">
              <w:rPr>
                <w:sz w:val="24"/>
                <w:lang w:val="vi-VN"/>
              </w:rPr>
              <w:t>Tần số trung lập về công nghệ: Công nghệ có vòng đời 5-7 năm =&gt; chưa hết khấu hao =&gt; không có phương án xử lý.</w:t>
            </w:r>
          </w:p>
        </w:tc>
        <w:tc>
          <w:tcPr>
            <w:tcW w:w="7563" w:type="dxa"/>
          </w:tcPr>
          <w:p w:rsidR="00DC03AD" w:rsidRPr="00DC03AD" w:rsidRDefault="00DC03AD" w:rsidP="00DC03AD">
            <w:pPr>
              <w:rPr>
                <w:sz w:val="24"/>
                <w:lang w:val="vi-VN"/>
              </w:rPr>
            </w:pPr>
            <w:r w:rsidRPr="00DC03AD">
              <w:rPr>
                <w:sz w:val="24"/>
                <w:lang w:val="vi-VN"/>
              </w:rPr>
              <w:lastRenderedPageBreak/>
              <w:t>Đề nghị giữ nguyên.</w:t>
            </w:r>
          </w:p>
          <w:p w:rsidR="00DC03AD" w:rsidRPr="00DC03AD" w:rsidRDefault="00DC03AD" w:rsidP="00DC03AD">
            <w:pPr>
              <w:rPr>
                <w:sz w:val="24"/>
                <w:lang w:val="vi-VN"/>
              </w:rPr>
            </w:pPr>
            <w:r>
              <w:rPr>
                <w:sz w:val="24"/>
                <w:lang w:val="vi-VN"/>
              </w:rPr>
              <w:t xml:space="preserve">- </w:t>
            </w:r>
            <w:r w:rsidRPr="00DC03AD">
              <w:rPr>
                <w:sz w:val="24"/>
                <w:lang w:val="vi-VN"/>
              </w:rPr>
              <w:t>Mức thu là cơ sở để xác định tiền sử dụng tài nguyên (tần số vô tuyến điện)</w:t>
            </w:r>
            <w:r w:rsidR="00FF0230">
              <w:rPr>
                <w:sz w:val="24"/>
                <w:lang w:val="vi-VN"/>
              </w:rPr>
              <w:t xml:space="preserve"> </w:t>
            </w:r>
            <w:r w:rsidRPr="00DC03AD">
              <w:rPr>
                <w:sz w:val="24"/>
                <w:lang w:val="vi-VN"/>
              </w:rPr>
              <w:t>về bản chất chính là tiền sử dụng tần số vô tuyến điện.</w:t>
            </w:r>
          </w:p>
          <w:p w:rsidR="00DC03AD" w:rsidRDefault="00DC03AD" w:rsidP="00DC03AD">
            <w:pPr>
              <w:rPr>
                <w:sz w:val="24"/>
                <w:lang w:val="vi-VN"/>
              </w:rPr>
            </w:pPr>
            <w:r w:rsidRPr="00DC03AD">
              <w:rPr>
                <w:sz w:val="24"/>
                <w:lang w:val="vi-VN"/>
              </w:rPr>
              <w:t xml:space="preserve">Việc thu tiền sử dụng tần số vô tuyến điện được áp dụng đối với doanh </w:t>
            </w:r>
            <w:r w:rsidRPr="00DC03AD">
              <w:rPr>
                <w:sz w:val="24"/>
                <w:lang w:val="vi-VN"/>
              </w:rPr>
              <w:lastRenderedPageBreak/>
              <w:t>nghiệp được cấp phép sử dụng băng tần dành cho hệ thống thông tin di động mặt đất công cộng do các băng tần này có thể mang lại giá trị thương mại cao cho doanh nghiệp được quyền sử dụng băng tần đó.</w:t>
            </w:r>
            <w:r>
              <w:rPr>
                <w:sz w:val="24"/>
                <w:lang w:val="vi-VN"/>
              </w:rPr>
              <w:t xml:space="preserve"> </w:t>
            </w:r>
            <w:r w:rsidR="00A8338B" w:rsidRPr="00C61A12">
              <w:rPr>
                <w:sz w:val="24"/>
                <w:lang w:val="vi-VN"/>
              </w:rPr>
              <w:t xml:space="preserve">Nhiều </w:t>
            </w:r>
            <w:r>
              <w:rPr>
                <w:sz w:val="24"/>
                <w:lang w:val="vi-VN"/>
              </w:rPr>
              <w:t xml:space="preserve">nước trên thế giới </w:t>
            </w:r>
            <w:r w:rsidRPr="00DC03AD">
              <w:rPr>
                <w:sz w:val="24"/>
                <w:lang w:val="vi-VN"/>
              </w:rPr>
              <w:t xml:space="preserve">sau khi giấy phép </w:t>
            </w:r>
            <w:r w:rsidR="00A8338B" w:rsidRPr="00C61A12">
              <w:rPr>
                <w:sz w:val="24"/>
                <w:lang w:val="vi-VN"/>
              </w:rPr>
              <w:t xml:space="preserve">này </w:t>
            </w:r>
            <w:r w:rsidRPr="00DC03AD">
              <w:rPr>
                <w:sz w:val="24"/>
                <w:lang w:val="vi-VN"/>
              </w:rPr>
              <w:t>hết hạn thường sẽ thu hồi để đấu giá lại hoặc gia hạn</w:t>
            </w:r>
            <w:r w:rsidR="00A8338B" w:rsidRPr="00C61A12">
              <w:rPr>
                <w:sz w:val="24"/>
                <w:lang w:val="vi-VN"/>
              </w:rPr>
              <w:t>/ cấp mới</w:t>
            </w:r>
            <w:r w:rsidRPr="00DC03AD">
              <w:rPr>
                <w:sz w:val="24"/>
                <w:lang w:val="vi-VN"/>
              </w:rPr>
              <w:t xml:space="preserve"> và có thu tiền sử dụng tần số</w:t>
            </w:r>
            <w:r w:rsidR="00A8338B" w:rsidRPr="00C61A12">
              <w:rPr>
                <w:sz w:val="24"/>
                <w:lang w:val="vi-VN"/>
              </w:rPr>
              <w:t xml:space="preserve"> VTĐ (Anh, Pháp, Đức, Singapore, Hồng kong,...)</w:t>
            </w:r>
            <w:r w:rsidRPr="00DC03AD">
              <w:rPr>
                <w:sz w:val="24"/>
                <w:lang w:val="vi-VN"/>
              </w:rPr>
              <w:t>.</w:t>
            </w:r>
          </w:p>
          <w:p w:rsidR="00DC03AD" w:rsidRPr="008A5050" w:rsidRDefault="00DC03AD">
            <w:pPr>
              <w:rPr>
                <w:sz w:val="24"/>
                <w:lang w:val="vi-VN"/>
              </w:rPr>
            </w:pPr>
            <w:r w:rsidRPr="00DC03AD">
              <w:rPr>
                <w:sz w:val="24"/>
                <w:lang w:val="vi-VN"/>
              </w:rPr>
              <w:t xml:space="preserve">Mỹ và Trung quốc là những trường hợp </w:t>
            </w:r>
            <w:r w:rsidR="00A8338B" w:rsidRPr="00C61A12">
              <w:rPr>
                <w:sz w:val="24"/>
                <w:lang w:val="vi-VN"/>
              </w:rPr>
              <w:t>đặc</w:t>
            </w:r>
            <w:r w:rsidRPr="00DC03AD">
              <w:rPr>
                <w:sz w:val="24"/>
                <w:lang w:val="vi-VN"/>
              </w:rPr>
              <w:t xml:space="preserve"> biệt, </w:t>
            </w:r>
            <w:r w:rsidR="00A8338B" w:rsidRPr="00C61A12">
              <w:rPr>
                <w:sz w:val="24"/>
                <w:lang w:val="vi-VN"/>
              </w:rPr>
              <w:t xml:space="preserve">Mỹ chỉ đấu giá lần đầu, lần sau không đấu </w:t>
            </w:r>
            <w:r w:rsidR="00C61A12">
              <w:rPr>
                <w:sz w:val="24"/>
                <w:lang w:val="vi-VN"/>
              </w:rPr>
              <w:t xml:space="preserve">giá </w:t>
            </w:r>
            <w:r w:rsidR="00A8338B" w:rsidRPr="00C61A12">
              <w:rPr>
                <w:sz w:val="24"/>
                <w:lang w:val="vi-VN"/>
              </w:rPr>
              <w:t>lại và cũng không thu tiền sử dụng băng tần,</w:t>
            </w:r>
            <w:r w:rsidRPr="00DC03AD">
              <w:rPr>
                <w:sz w:val="24"/>
                <w:lang w:val="vi-VN"/>
              </w:rPr>
              <w:t xml:space="preserve"> Trung Quốc không đấu giá </w:t>
            </w:r>
            <w:r w:rsidR="00A8338B" w:rsidRPr="00C61A12">
              <w:rPr>
                <w:sz w:val="24"/>
                <w:lang w:val="vi-VN"/>
              </w:rPr>
              <w:t>mà cấp trực tiếp</w:t>
            </w:r>
            <w:r w:rsidR="00A8338B" w:rsidRPr="00DC03AD">
              <w:rPr>
                <w:sz w:val="24"/>
                <w:lang w:val="vi-VN"/>
              </w:rPr>
              <w:t xml:space="preserve"> </w:t>
            </w:r>
            <w:r w:rsidR="00A8338B" w:rsidRPr="00C61A12">
              <w:rPr>
                <w:sz w:val="24"/>
                <w:lang w:val="vi-VN"/>
              </w:rPr>
              <w:t>băng tần di động cho doanh nghiệp.</w:t>
            </w:r>
          </w:p>
        </w:tc>
      </w:tr>
      <w:tr w:rsidR="003A6128" w:rsidRPr="000A094E" w:rsidTr="001A3FED">
        <w:trPr>
          <w:trHeight w:val="79"/>
        </w:trPr>
        <w:tc>
          <w:tcPr>
            <w:tcW w:w="674" w:type="dxa"/>
            <w:vMerge w:val="restart"/>
            <w:vAlign w:val="center"/>
          </w:tcPr>
          <w:p w:rsidR="003A6128" w:rsidRDefault="003A6128" w:rsidP="009A67C1">
            <w:pPr>
              <w:jc w:val="center"/>
              <w:rPr>
                <w:b/>
                <w:sz w:val="24"/>
                <w:lang w:val="vi-VN"/>
              </w:rPr>
            </w:pPr>
            <w:r>
              <w:rPr>
                <w:b/>
                <w:sz w:val="24"/>
                <w:lang w:val="vi-VN"/>
              </w:rPr>
              <w:lastRenderedPageBreak/>
              <w:t>4</w:t>
            </w:r>
          </w:p>
        </w:tc>
        <w:tc>
          <w:tcPr>
            <w:tcW w:w="1561" w:type="dxa"/>
            <w:vMerge w:val="restart"/>
            <w:vAlign w:val="center"/>
          </w:tcPr>
          <w:p w:rsidR="003A6128" w:rsidRPr="007B727E" w:rsidRDefault="007B727E" w:rsidP="007B727E">
            <w:pPr>
              <w:jc w:val="center"/>
              <w:rPr>
                <w:b/>
                <w:sz w:val="24"/>
                <w:lang w:val="en-US"/>
              </w:rPr>
            </w:pPr>
            <w:r>
              <w:rPr>
                <w:b/>
                <w:sz w:val="24"/>
                <w:lang w:val="en-US"/>
              </w:rPr>
              <w:t>Cách</w:t>
            </w:r>
            <w:r w:rsidR="003A6128" w:rsidRPr="001C6C62">
              <w:rPr>
                <w:b/>
                <w:sz w:val="24"/>
                <w:lang w:val="vi-VN"/>
              </w:rPr>
              <w:t xml:space="preserve"> xác định </w:t>
            </w:r>
            <w:r>
              <w:rPr>
                <w:b/>
                <w:sz w:val="24"/>
                <w:lang w:val="en-US"/>
              </w:rPr>
              <w:t>đơn giá băng tần</w:t>
            </w:r>
          </w:p>
        </w:tc>
        <w:tc>
          <w:tcPr>
            <w:tcW w:w="4706" w:type="dxa"/>
          </w:tcPr>
          <w:p w:rsidR="003A6128" w:rsidRPr="001C6C62" w:rsidRDefault="003A6128" w:rsidP="007B6505">
            <w:pPr>
              <w:rPr>
                <w:i/>
                <w:sz w:val="24"/>
                <w:lang w:val="vi-VN"/>
              </w:rPr>
            </w:pPr>
            <w:r w:rsidRPr="001C6C62">
              <w:rPr>
                <w:b/>
                <w:sz w:val="24"/>
                <w:lang w:val="vi-VN"/>
              </w:rPr>
              <w:t>Viettel</w:t>
            </w:r>
            <w:r w:rsidRPr="001C6C62">
              <w:rPr>
                <w:sz w:val="24"/>
                <w:lang w:val="vi-VN"/>
              </w:rPr>
              <w:t xml:space="preserve">: </w:t>
            </w:r>
            <w:r w:rsidRPr="001C6C62">
              <w:rPr>
                <w:i/>
                <w:sz w:val="24"/>
                <w:lang w:val="vi-VN"/>
              </w:rPr>
              <w:t>thay “</w:t>
            </w:r>
            <w:r w:rsidRPr="001C6C62">
              <w:rPr>
                <w:b/>
                <w:i/>
                <w:sz w:val="24"/>
                <w:lang w:val="vi-VN"/>
              </w:rPr>
              <w:t xml:space="preserve">tài sản so sánh" </w:t>
            </w:r>
            <w:r w:rsidRPr="001C6C62">
              <w:rPr>
                <w:i/>
                <w:sz w:val="24"/>
                <w:lang w:val="vi-VN"/>
              </w:rPr>
              <w:t>thành “băng tần cùng loại (băng tần cùng loại (cùng mã băng tần được quy định theo 3GPP)"</w:t>
            </w:r>
          </w:p>
          <w:p w:rsidR="003A6128" w:rsidRDefault="003A6128" w:rsidP="007B6505">
            <w:pPr>
              <w:rPr>
                <w:b/>
                <w:i/>
                <w:sz w:val="24"/>
                <w:lang w:val="vi-VN"/>
              </w:rPr>
            </w:pPr>
            <w:r w:rsidRPr="00842678">
              <w:rPr>
                <w:b/>
                <w:sz w:val="24"/>
                <w:lang w:val="vi-VN"/>
              </w:rPr>
              <w:t xml:space="preserve">Vietnamobile, </w:t>
            </w:r>
            <w:r w:rsidRPr="001C6C62">
              <w:rPr>
                <w:b/>
                <w:sz w:val="24"/>
                <w:lang w:val="vi-VN"/>
              </w:rPr>
              <w:t>Viettel</w:t>
            </w:r>
            <w:r w:rsidRPr="00842678">
              <w:rPr>
                <w:b/>
                <w:sz w:val="24"/>
                <w:lang w:val="vi-VN"/>
              </w:rPr>
              <w:t>:</w:t>
            </w:r>
            <w:r w:rsidRPr="001C6C62">
              <w:rPr>
                <w:sz w:val="24"/>
                <w:lang w:val="vi-VN"/>
              </w:rPr>
              <w:t xml:space="preserve"> </w:t>
            </w:r>
            <w:r w:rsidRPr="001C6C62">
              <w:rPr>
                <w:i/>
                <w:sz w:val="24"/>
                <w:lang w:val="vi-VN"/>
              </w:rPr>
              <w:t xml:space="preserve">đề xuất thay thế căn cứ xác định mức thu từ </w:t>
            </w:r>
            <w:r w:rsidRPr="001C6C62">
              <w:rPr>
                <w:b/>
                <w:i/>
                <w:sz w:val="24"/>
                <w:lang w:val="vi-VN"/>
              </w:rPr>
              <w:t>giá giao dịch thành công</w:t>
            </w:r>
            <w:r w:rsidRPr="001C6C62">
              <w:rPr>
                <w:i/>
                <w:sz w:val="24"/>
                <w:lang w:val="vi-VN"/>
              </w:rPr>
              <w:t xml:space="preserve"> sang căn cứ dựa trên </w:t>
            </w:r>
            <w:r w:rsidRPr="001C6C62">
              <w:rPr>
                <w:b/>
                <w:i/>
                <w:sz w:val="24"/>
                <w:lang w:val="vi-VN"/>
              </w:rPr>
              <w:t>giá khởi điểm</w:t>
            </w:r>
          </w:p>
          <w:p w:rsidR="003A6128" w:rsidRPr="00B66587" w:rsidRDefault="003A6128" w:rsidP="007B6505">
            <w:pPr>
              <w:rPr>
                <w:b/>
                <w:sz w:val="24"/>
                <w:lang w:val="vi-VN"/>
              </w:rPr>
            </w:pPr>
            <w:r w:rsidRPr="00B66587">
              <w:rPr>
                <w:b/>
                <w:sz w:val="24"/>
                <w:lang w:val="vi-VN"/>
              </w:rPr>
              <w:t>Viettel:</w:t>
            </w:r>
          </w:p>
          <w:p w:rsidR="003A6128" w:rsidRPr="00B66587" w:rsidRDefault="003A6128" w:rsidP="007B6505">
            <w:pPr>
              <w:rPr>
                <w:bCs/>
                <w:sz w:val="24"/>
                <w:lang w:val="vi-VN"/>
              </w:rPr>
            </w:pPr>
            <w:r w:rsidRPr="00B66587">
              <w:rPr>
                <w:bCs/>
                <w:sz w:val="24"/>
                <w:lang w:val="vi-VN"/>
              </w:rPr>
              <w:t>- Trên thực tế qua tham khảo kết quả đấu giá của các mạng trên thế giới, giá khởi điểm đang chỉ bằng 0,4 lần so với mức thu. Đề nghị áp dụng hệ số 0,4 trong công thức trên.</w:t>
            </w:r>
          </w:p>
          <w:p w:rsidR="003A6128" w:rsidRPr="00B66587" w:rsidRDefault="003A6128" w:rsidP="007B6505">
            <w:pPr>
              <w:rPr>
                <w:bCs/>
                <w:sz w:val="24"/>
                <w:lang w:val="vi-VN"/>
              </w:rPr>
            </w:pPr>
            <w:r w:rsidRPr="00B66587">
              <w:rPr>
                <w:bCs/>
                <w:sz w:val="24"/>
                <w:lang w:val="vi-VN"/>
              </w:rPr>
              <w:t>- Đề nghị Cục tính lại mức thu theo công thức mới trên, chia sẻ với các nhà mạng để cùng tiếp tục đánh giá, hiệu chỉnh.</w:t>
            </w:r>
          </w:p>
          <w:p w:rsidR="003A6128" w:rsidRPr="00B66587" w:rsidRDefault="003A6128" w:rsidP="007B6505">
            <w:pPr>
              <w:rPr>
                <w:bCs/>
                <w:sz w:val="24"/>
                <w:lang w:val="vi-VN"/>
              </w:rPr>
            </w:pPr>
            <w:r w:rsidRPr="00B66587">
              <w:rPr>
                <w:bCs/>
                <w:sz w:val="24"/>
                <w:lang w:val="vi-VN"/>
              </w:rPr>
              <w:t>- Đính chính lai chỉ số cho phù hợp với công thức:</w:t>
            </w:r>
          </w:p>
          <w:p w:rsidR="003A6128" w:rsidRPr="001C6C62" w:rsidRDefault="003A6128" w:rsidP="007B6505">
            <w:pPr>
              <w:rPr>
                <w:i/>
                <w:sz w:val="24"/>
                <w:lang w:val="vi-VN"/>
              </w:rPr>
            </w:pPr>
            <w:r w:rsidRPr="00B66587">
              <w:rPr>
                <w:bCs/>
                <w:sz w:val="24"/>
                <w:lang w:val="vi-VN"/>
              </w:rPr>
              <w:t>CPI</w:t>
            </w:r>
            <w:r w:rsidRPr="00B66587">
              <w:rPr>
                <w:bCs/>
                <w:sz w:val="24"/>
                <w:vertAlign w:val="subscript"/>
                <w:lang w:val="vi-VN"/>
              </w:rPr>
              <w:t>it</w:t>
            </w:r>
            <w:r w:rsidRPr="00B66587">
              <w:rPr>
                <w:bCs/>
                <w:sz w:val="24"/>
                <w:lang w:val="vi-VN"/>
              </w:rPr>
              <w:t xml:space="preserve"> là chỉ số giá tiêu dùng truyền thông của quốc gia hoặc vùng lãnh thổ i tại thời điểm thu tiền T</w:t>
            </w:r>
            <w:r w:rsidRPr="00B66587">
              <w:rPr>
                <w:bCs/>
                <w:sz w:val="24"/>
                <w:vertAlign w:val="subscript"/>
                <w:lang w:val="vi-VN"/>
              </w:rPr>
              <w:t>i</w:t>
            </w:r>
            <w:r w:rsidRPr="00B66587">
              <w:rPr>
                <w:bCs/>
                <w:sz w:val="24"/>
                <w:lang w:val="vi-VN"/>
              </w:rPr>
              <w:t>, trường hợp không có CPI truyền thông thì sử dụng CPI chung.</w:t>
            </w:r>
          </w:p>
          <w:p w:rsidR="003A6128" w:rsidRPr="001C6C62" w:rsidRDefault="003A6128" w:rsidP="007B6505">
            <w:pPr>
              <w:rPr>
                <w:sz w:val="24"/>
                <w:lang w:val="en-US"/>
              </w:rPr>
            </w:pPr>
            <w:r w:rsidRPr="001C6C62">
              <w:rPr>
                <w:b/>
                <w:sz w:val="24"/>
                <w:lang w:val="en-US"/>
              </w:rPr>
              <w:t xml:space="preserve">VNPT, Vietnamobile: </w:t>
            </w:r>
            <w:r w:rsidRPr="001C6C62">
              <w:rPr>
                <w:sz w:val="24"/>
                <w:lang w:val="en-US"/>
              </w:rPr>
              <w:t>Giải thích thêm về hệ số 0.9.</w:t>
            </w:r>
          </w:p>
          <w:p w:rsidR="003A6128" w:rsidRPr="00DC03AD" w:rsidRDefault="003A6128" w:rsidP="007B6505">
            <w:pPr>
              <w:rPr>
                <w:b/>
                <w:bCs/>
                <w:sz w:val="24"/>
                <w:lang w:val="vi-VN"/>
              </w:rPr>
            </w:pPr>
            <w:r w:rsidRPr="001C6C62">
              <w:rPr>
                <w:sz w:val="24"/>
                <w:lang w:val="en-US"/>
              </w:rPr>
              <w:t xml:space="preserve">Vietnamobile đề nghị quy định mức giảm giá </w:t>
            </w:r>
            <w:r w:rsidRPr="001C6C62">
              <w:rPr>
                <w:sz w:val="24"/>
                <w:lang w:val="en-US"/>
              </w:rPr>
              <w:lastRenderedPageBreak/>
              <w:t>không quá 50% giá trị. Tỷ lệ giảm giá do Tổ chức thẩm định tư vấn đề xuất.</w:t>
            </w:r>
          </w:p>
        </w:tc>
        <w:tc>
          <w:tcPr>
            <w:tcW w:w="7563" w:type="dxa"/>
          </w:tcPr>
          <w:p w:rsidR="003A6128" w:rsidRPr="001C6C62" w:rsidRDefault="003A6128" w:rsidP="007B6505">
            <w:pPr>
              <w:rPr>
                <w:sz w:val="24"/>
                <w:lang w:val="vi-VN"/>
              </w:rPr>
            </w:pPr>
            <w:r w:rsidRPr="001C6C62">
              <w:rPr>
                <w:sz w:val="24"/>
                <w:lang w:val="vi-VN"/>
              </w:rPr>
              <w:lastRenderedPageBreak/>
              <w:t xml:space="preserve">- Làm rõ “băng tần so sánh” trong đó có băng tần “cùng loại” và “tương đương”. Chỉ sử dụng băng tần “tương đương” khi không đủ số mẫu của băng tần “cùng loại để so sánh”. Cách làm này phù hợp với tiêu chuẩn thẩm định giá và </w:t>
            </w:r>
            <w:r w:rsidRPr="00842678">
              <w:rPr>
                <w:sz w:val="24"/>
                <w:lang w:val="vi-VN"/>
              </w:rPr>
              <w:t>thông lệ quốc tế.</w:t>
            </w:r>
          </w:p>
          <w:p w:rsidR="003A6128" w:rsidRPr="001C6C62" w:rsidRDefault="003A6128" w:rsidP="007B6505">
            <w:pPr>
              <w:rPr>
                <w:sz w:val="24"/>
                <w:lang w:val="vi-VN"/>
              </w:rPr>
            </w:pPr>
            <w:r w:rsidRPr="001C6C62">
              <w:rPr>
                <w:sz w:val="24"/>
                <w:lang w:val="vi-VN"/>
              </w:rPr>
              <w:t xml:space="preserve">- Cần căn cứ vào số tiền mà các nước thu được khi cấp băng tần cùng loại hoặc tương đương với băng tần cần xác định </w:t>
            </w:r>
            <w:r w:rsidR="007B727E">
              <w:rPr>
                <w:sz w:val="24"/>
                <w:lang w:val="en-US"/>
              </w:rPr>
              <w:t>đơn giá</w:t>
            </w:r>
            <w:r w:rsidRPr="001C6C62">
              <w:rPr>
                <w:sz w:val="24"/>
                <w:lang w:val="vi-VN"/>
              </w:rPr>
              <w:t>.</w:t>
            </w:r>
          </w:p>
          <w:p w:rsidR="003A6128" w:rsidRPr="006E433C" w:rsidRDefault="003A6128" w:rsidP="007B6505">
            <w:pPr>
              <w:rPr>
                <w:sz w:val="24"/>
                <w:lang w:val="en-US"/>
              </w:rPr>
            </w:pPr>
            <w:r w:rsidRPr="001C6C62">
              <w:rPr>
                <w:sz w:val="24"/>
                <w:lang w:val="vi-VN"/>
              </w:rPr>
              <w:t xml:space="preserve"> Lý do: số tiền này thể hiện doanh nghiệp trên thế giới đã chấp nhận trả cho băng tần đó. Tuy nhiên, </w:t>
            </w:r>
            <w:r w:rsidRPr="00711466">
              <w:rPr>
                <w:sz w:val="24"/>
                <w:lang w:val="vi-VN"/>
              </w:rPr>
              <w:t>đây chính là giá trị kỳ vọng thu được ở Việt Nam, không phải giá trị của băng tần</w:t>
            </w:r>
            <w:r w:rsidRPr="001C6C62">
              <w:rPr>
                <w:sz w:val="24"/>
                <w:lang w:val="vi-VN"/>
              </w:rPr>
              <w:t xml:space="preserve"> khi quy đổi về trường hợp của Việt Nam</w:t>
            </w:r>
            <w:r w:rsidRPr="00842678">
              <w:rPr>
                <w:sz w:val="24"/>
                <w:lang w:val="vi-VN"/>
              </w:rPr>
              <w:t>.</w:t>
            </w:r>
            <w:r w:rsidRPr="001C6C62">
              <w:rPr>
                <w:sz w:val="24"/>
                <w:lang w:val="vi-VN"/>
              </w:rPr>
              <w:t xml:space="preserve"> Theo </w:t>
            </w:r>
            <w:r w:rsidR="000A094E" w:rsidRPr="000A094E">
              <w:rPr>
                <w:sz w:val="24"/>
                <w:lang w:val="vi-VN"/>
              </w:rPr>
              <w:t>nghiên cứu của IJSET – International Journal of Scientific Engineering and Technology, hầu hết các nhà quản lý trên thế giới thường nhân với hệ số điều chỉnh từ 0,7 đến 0,8</w:t>
            </w:r>
            <w:r w:rsidRPr="001C6C62">
              <w:rPr>
                <w:sz w:val="24"/>
                <w:lang w:val="vi-VN"/>
              </w:rPr>
              <w:t>.</w:t>
            </w:r>
            <w:r w:rsidR="00E54080">
              <w:rPr>
                <w:sz w:val="24"/>
                <w:lang w:val="en-US"/>
              </w:rPr>
              <w:t xml:space="preserve"> Dự thảo đề xuất nhân với hệ số 0.75</w:t>
            </w:r>
          </w:p>
          <w:p w:rsidR="003A6128" w:rsidRPr="00DC03AD" w:rsidRDefault="003A6128" w:rsidP="007B6505">
            <w:pPr>
              <w:rPr>
                <w:sz w:val="24"/>
                <w:lang w:val="vi-VN"/>
              </w:rPr>
            </w:pPr>
            <w:r>
              <w:rPr>
                <w:sz w:val="24"/>
                <w:lang w:val="vi-VN"/>
              </w:rPr>
              <w:t xml:space="preserve">- </w:t>
            </w:r>
            <w:r>
              <w:rPr>
                <w:rFonts w:cs="Times New Roman"/>
                <w:sz w:val="24"/>
                <w:lang w:val="vi-VN"/>
              </w:rPr>
              <w:t>Về nội dung đính chính chỉ số của Viettel đề xuất đã được quy định cụ thể trong Nghị định, chỉ khác về cách diễn đạt.</w:t>
            </w:r>
          </w:p>
        </w:tc>
      </w:tr>
      <w:tr w:rsidR="003A6128" w:rsidRPr="000A094E" w:rsidTr="001A3FED">
        <w:trPr>
          <w:trHeight w:val="917"/>
        </w:trPr>
        <w:tc>
          <w:tcPr>
            <w:tcW w:w="674" w:type="dxa"/>
            <w:vMerge/>
            <w:vAlign w:val="center"/>
          </w:tcPr>
          <w:p w:rsidR="003A6128" w:rsidRPr="001C6C62" w:rsidRDefault="003A6128" w:rsidP="008A2475">
            <w:pPr>
              <w:jc w:val="center"/>
              <w:rPr>
                <w:b/>
                <w:sz w:val="24"/>
                <w:lang w:val="vi-VN"/>
              </w:rPr>
            </w:pPr>
          </w:p>
        </w:tc>
        <w:tc>
          <w:tcPr>
            <w:tcW w:w="1561" w:type="dxa"/>
            <w:vMerge/>
            <w:vAlign w:val="center"/>
          </w:tcPr>
          <w:p w:rsidR="003A6128" w:rsidRPr="001C6C62" w:rsidRDefault="003A6128" w:rsidP="006C44CB">
            <w:pPr>
              <w:jc w:val="center"/>
              <w:rPr>
                <w:b/>
                <w:sz w:val="24"/>
                <w:lang w:val="vi-VN"/>
              </w:rPr>
            </w:pPr>
          </w:p>
        </w:tc>
        <w:tc>
          <w:tcPr>
            <w:tcW w:w="4706" w:type="dxa"/>
          </w:tcPr>
          <w:p w:rsidR="003A6128" w:rsidRPr="001C6C62" w:rsidRDefault="003A6128" w:rsidP="0024683C">
            <w:pPr>
              <w:rPr>
                <w:rFonts w:cs="Times New Roman"/>
                <w:bCs/>
                <w:sz w:val="24"/>
                <w:lang w:val="vi-VN"/>
              </w:rPr>
            </w:pPr>
            <w:r w:rsidRPr="001C6C62">
              <w:rPr>
                <w:rFonts w:cs="Times New Roman"/>
                <w:b/>
                <w:sz w:val="24"/>
                <w:lang w:val="vi-VN"/>
              </w:rPr>
              <w:t xml:space="preserve">MobiFone </w:t>
            </w:r>
            <w:r w:rsidRPr="001C6C62">
              <w:rPr>
                <w:rFonts w:cs="Times New Roman"/>
                <w:bCs/>
                <w:sz w:val="24"/>
                <w:lang w:val="vi-VN"/>
              </w:rPr>
              <w:t>đề xuất bổ sung thêm một số tiêu chí vào để xác định đơn giá mức thu tối thiểu, cụ thể:</w:t>
            </w:r>
          </w:p>
          <w:p w:rsidR="003A6128" w:rsidRPr="001C6C62" w:rsidRDefault="003A6128" w:rsidP="0024683C">
            <w:pPr>
              <w:pStyle w:val="ListParagraph"/>
              <w:numPr>
                <w:ilvl w:val="0"/>
                <w:numId w:val="4"/>
              </w:numPr>
              <w:rPr>
                <w:rFonts w:ascii="Times New Roman" w:hAnsi="Times New Roman" w:cs="Times New Roman"/>
                <w:bCs/>
                <w:lang w:val="vi-VN"/>
              </w:rPr>
            </w:pPr>
            <w:r w:rsidRPr="001C6C62">
              <w:rPr>
                <w:rFonts w:ascii="Times New Roman" w:hAnsi="Times New Roman" w:cs="Times New Roman"/>
                <w:bCs/>
                <w:lang w:val="vi-VN"/>
              </w:rPr>
              <w:t>ARPU viễn thông tại các quốc gia tại thời điểm tính.</w:t>
            </w:r>
          </w:p>
          <w:p w:rsidR="003A6128" w:rsidRPr="001C6C62" w:rsidRDefault="003A6128" w:rsidP="0024683C">
            <w:pPr>
              <w:pStyle w:val="ListParagraph"/>
              <w:numPr>
                <w:ilvl w:val="0"/>
                <w:numId w:val="4"/>
              </w:numPr>
              <w:rPr>
                <w:rFonts w:ascii="Times New Roman" w:hAnsi="Times New Roman" w:cs="Times New Roman"/>
                <w:bCs/>
                <w:lang w:val="vi-VN"/>
              </w:rPr>
            </w:pPr>
            <w:r w:rsidRPr="001C6C62">
              <w:rPr>
                <w:rFonts w:ascii="Times New Roman" w:hAnsi="Times New Roman" w:cs="Times New Roman"/>
                <w:bCs/>
                <w:lang w:val="vi-VN"/>
              </w:rPr>
              <w:t>Giá dịch vụ viễn thông tại các quốc gia tại thời điểm tính. (có thể quy về giá cước dịch vụ data).</w:t>
            </w:r>
          </w:p>
          <w:p w:rsidR="003A6128" w:rsidRPr="001C6C62" w:rsidRDefault="003A6128" w:rsidP="0024683C">
            <w:pPr>
              <w:pStyle w:val="ListParagraph"/>
              <w:numPr>
                <w:ilvl w:val="0"/>
                <w:numId w:val="4"/>
              </w:numPr>
              <w:rPr>
                <w:bCs/>
                <w:lang w:val="vi-VN"/>
              </w:rPr>
            </w:pPr>
            <w:r w:rsidRPr="001C6C62">
              <w:rPr>
                <w:rFonts w:ascii="Times New Roman" w:hAnsi="Times New Roman" w:cs="Times New Roman"/>
                <w:bCs/>
                <w:lang w:val="vi-VN"/>
              </w:rPr>
              <w:t>Chỉ số giá tiêu dùng CPI</w:t>
            </w:r>
          </w:p>
          <w:p w:rsidR="003A6128" w:rsidRPr="001C6C62" w:rsidRDefault="003A6128" w:rsidP="001510A9">
            <w:pPr>
              <w:rPr>
                <w:bCs/>
                <w:sz w:val="24"/>
                <w:lang w:val="vi-VN"/>
              </w:rPr>
            </w:pPr>
          </w:p>
          <w:p w:rsidR="003A6128" w:rsidRPr="001C6C62" w:rsidRDefault="003A6128" w:rsidP="001510A9">
            <w:pPr>
              <w:rPr>
                <w:bCs/>
                <w:sz w:val="24"/>
                <w:lang w:val="vi-VN"/>
              </w:rPr>
            </w:pPr>
            <w:r w:rsidRPr="001C6C62">
              <w:rPr>
                <w:b/>
                <w:sz w:val="24"/>
                <w:lang w:val="vi-VN"/>
              </w:rPr>
              <w:t>VNPT</w:t>
            </w:r>
            <w:r w:rsidRPr="001C6C62">
              <w:rPr>
                <w:bCs/>
                <w:sz w:val="24"/>
                <w:lang w:val="vi-VN"/>
              </w:rPr>
              <w:t>:</w:t>
            </w:r>
          </w:p>
          <w:p w:rsidR="003A6128" w:rsidRPr="001C6C62" w:rsidRDefault="003A6128" w:rsidP="001510A9">
            <w:pPr>
              <w:rPr>
                <w:bCs/>
                <w:lang w:val="vi-VN"/>
              </w:rPr>
            </w:pPr>
            <w:r w:rsidRPr="001C6C62">
              <w:rPr>
                <w:bCs/>
                <w:sz w:val="24"/>
                <w:lang w:val="vi-VN"/>
              </w:rPr>
              <w:t>- Hiện chỉ xét tham số về dân số và GDP cũng như CPI, xem xét đưa tham số ARPU về di động, vì hiện nay dân số Việt Nam rất đông (đứng top 15) mà ARPU rất thấp, nếu nhân với hệ số dân số Vn thì mức thu sẽ rất cao. Ví dụ: dân số Việt nam 100 triệu, so với dân số Singapore là 5 triệu, vậy giá thành băng tần VN còn đắt hơn đến 20 lần số với Singapore.</w:t>
            </w:r>
          </w:p>
        </w:tc>
        <w:tc>
          <w:tcPr>
            <w:tcW w:w="7563" w:type="dxa"/>
          </w:tcPr>
          <w:p w:rsidR="006B6D17" w:rsidRPr="001A3FED" w:rsidRDefault="006B6D17" w:rsidP="0024683C">
            <w:pPr>
              <w:rPr>
                <w:sz w:val="24"/>
                <w:lang w:val="vi-VN"/>
              </w:rPr>
            </w:pPr>
            <w:r w:rsidRPr="001A3FED">
              <w:rPr>
                <w:sz w:val="24"/>
                <w:lang w:val="vi-VN"/>
              </w:rPr>
              <w:t xml:space="preserve">- Công thức tính đã điều chỉnh theo thu nhập bình quân đầu người để đánh giá khả năng chi trả của người dân Việt Nam so với người dân ở các quốc gia khác vì không có thông tin tin cậy về doanh thu trung bình trên một thuê bao - </w:t>
            </w:r>
            <w:r w:rsidRPr="001C6C62">
              <w:rPr>
                <w:sz w:val="24"/>
                <w:lang w:val="vi-VN"/>
              </w:rPr>
              <w:t>ARPU</w:t>
            </w:r>
            <w:r w:rsidRPr="001A3FED">
              <w:rPr>
                <w:sz w:val="24"/>
                <w:lang w:val="vi-VN"/>
              </w:rPr>
              <w:t xml:space="preserve"> của quốc gia so sánh.</w:t>
            </w:r>
          </w:p>
          <w:p w:rsidR="003A6128" w:rsidRPr="001A3FED" w:rsidRDefault="006B6D17" w:rsidP="0024683C">
            <w:pPr>
              <w:rPr>
                <w:sz w:val="24"/>
                <w:lang w:val="vi-VN"/>
              </w:rPr>
            </w:pPr>
            <w:r w:rsidRPr="001A3FED">
              <w:rPr>
                <w:sz w:val="24"/>
                <w:lang w:val="vi-VN"/>
              </w:rPr>
              <w:t xml:space="preserve">- Giá dịch vụ viễn thông liên quan trực tiếp đến </w:t>
            </w:r>
            <w:r w:rsidR="00572728" w:rsidRPr="001A3FED">
              <w:rPr>
                <w:sz w:val="24"/>
                <w:lang w:val="vi-VN"/>
              </w:rPr>
              <w:t>chi tiêu của người dùng dịch vụ viễn thông, ARPU nhưng không sử dụng được số liệu về ARPU của các nước như đã giải trình ở trên</w:t>
            </w:r>
            <w:r w:rsidR="003A6128" w:rsidRPr="001C6C62">
              <w:rPr>
                <w:sz w:val="24"/>
                <w:lang w:val="vi-VN"/>
              </w:rPr>
              <w:t>.</w:t>
            </w:r>
            <w:r w:rsidR="00572728" w:rsidRPr="001A3FED">
              <w:rPr>
                <w:sz w:val="24"/>
                <w:lang w:val="vi-VN"/>
              </w:rPr>
              <w:t xml:space="preserve"> </w:t>
            </w:r>
          </w:p>
          <w:p w:rsidR="003A6128" w:rsidRDefault="003A6128" w:rsidP="0024683C">
            <w:pPr>
              <w:rPr>
                <w:sz w:val="24"/>
                <w:lang w:val="vi-VN"/>
              </w:rPr>
            </w:pPr>
            <w:r w:rsidRPr="001C6C62">
              <w:rPr>
                <w:sz w:val="24"/>
                <w:lang w:val="vi-VN"/>
              </w:rPr>
              <w:t>- Đã áp dụng chỉ số giá tiêu dùng CPI vào công thức xác định mức thu.</w:t>
            </w:r>
          </w:p>
          <w:p w:rsidR="006B6D17" w:rsidRPr="001A3FED" w:rsidRDefault="006B6D17" w:rsidP="0024683C">
            <w:pPr>
              <w:rPr>
                <w:sz w:val="24"/>
                <w:lang w:val="vi-VN"/>
              </w:rPr>
            </w:pPr>
          </w:p>
          <w:p w:rsidR="003A6128" w:rsidRPr="001C6C62" w:rsidRDefault="003A6128" w:rsidP="0024683C">
            <w:pPr>
              <w:rPr>
                <w:sz w:val="24"/>
                <w:lang w:val="vi-VN"/>
              </w:rPr>
            </w:pPr>
          </w:p>
        </w:tc>
      </w:tr>
      <w:tr w:rsidR="003A6128" w:rsidRPr="000A094E" w:rsidTr="001A3FED">
        <w:trPr>
          <w:trHeight w:val="917"/>
        </w:trPr>
        <w:tc>
          <w:tcPr>
            <w:tcW w:w="674" w:type="dxa"/>
            <w:vMerge/>
            <w:vAlign w:val="center"/>
          </w:tcPr>
          <w:p w:rsidR="003A6128" w:rsidRPr="001C6C62" w:rsidRDefault="003A6128" w:rsidP="008A2475">
            <w:pPr>
              <w:jc w:val="center"/>
              <w:rPr>
                <w:b/>
                <w:sz w:val="24"/>
                <w:lang w:val="vi-VN"/>
              </w:rPr>
            </w:pPr>
          </w:p>
        </w:tc>
        <w:tc>
          <w:tcPr>
            <w:tcW w:w="1561" w:type="dxa"/>
            <w:vMerge/>
            <w:vAlign w:val="center"/>
          </w:tcPr>
          <w:p w:rsidR="003A6128" w:rsidRPr="001C6C62" w:rsidRDefault="003A6128" w:rsidP="006C44CB">
            <w:pPr>
              <w:jc w:val="center"/>
              <w:rPr>
                <w:b/>
                <w:sz w:val="24"/>
                <w:lang w:val="vi-VN"/>
              </w:rPr>
            </w:pPr>
          </w:p>
        </w:tc>
        <w:tc>
          <w:tcPr>
            <w:tcW w:w="4706" w:type="dxa"/>
          </w:tcPr>
          <w:p w:rsidR="003A6128" w:rsidRPr="001C6C62" w:rsidRDefault="003A6128" w:rsidP="0024683C">
            <w:pPr>
              <w:rPr>
                <w:rFonts w:cs="Times New Roman"/>
                <w:b/>
                <w:sz w:val="24"/>
                <w:lang w:val="vi-VN"/>
              </w:rPr>
            </w:pPr>
            <w:r w:rsidRPr="001C6C62">
              <w:rPr>
                <w:rFonts w:cs="Times New Roman"/>
                <w:b/>
                <w:sz w:val="24"/>
                <w:lang w:val="vi-VN"/>
              </w:rPr>
              <w:t>VNPT:</w:t>
            </w:r>
          </w:p>
          <w:p w:rsidR="003A6128" w:rsidRPr="001C6C62" w:rsidRDefault="003A6128" w:rsidP="001510A9">
            <w:pPr>
              <w:rPr>
                <w:rFonts w:cs="Times New Roman"/>
                <w:bCs/>
                <w:sz w:val="24"/>
                <w:lang w:val="vi-VN"/>
              </w:rPr>
            </w:pPr>
            <w:r w:rsidRPr="001C6C62">
              <w:rPr>
                <w:rFonts w:cs="Times New Roman"/>
                <w:bCs/>
                <w:sz w:val="24"/>
                <w:lang w:val="vi-VN"/>
              </w:rPr>
              <w:t>- Xem xét đưa thêm 2 chỉ số IDI và IPB lấy trung bình 5 năm theo tổ chức ITU công bố:</w:t>
            </w:r>
          </w:p>
          <w:p w:rsidR="003A6128" w:rsidRPr="001C6C62" w:rsidRDefault="003A6128" w:rsidP="001510A9">
            <w:pPr>
              <w:rPr>
                <w:rFonts w:cs="Times New Roman"/>
                <w:bCs/>
                <w:sz w:val="24"/>
                <w:lang w:val="vi-VN"/>
              </w:rPr>
            </w:pPr>
            <w:r w:rsidRPr="001C6C62">
              <w:rPr>
                <w:rFonts w:cs="Times New Roman"/>
                <w:bCs/>
                <w:sz w:val="24"/>
                <w:lang w:val="vi-VN"/>
              </w:rPr>
              <w:t>+ Chỉ số: ICT Development Index (IDI)</w:t>
            </w:r>
          </w:p>
          <w:p w:rsidR="003A6128" w:rsidRPr="001C6C62" w:rsidRDefault="003A6128" w:rsidP="001510A9">
            <w:pPr>
              <w:rPr>
                <w:rFonts w:cs="Times New Roman"/>
                <w:bCs/>
                <w:lang w:val="vi-VN"/>
              </w:rPr>
            </w:pPr>
            <w:r w:rsidRPr="001C6C62">
              <w:rPr>
                <w:rFonts w:cs="Times New Roman"/>
                <w:bCs/>
                <w:sz w:val="24"/>
                <w:lang w:val="vi-VN"/>
              </w:rPr>
              <w:t>+ Và chỉ số: ICT Price Basket (IPB)</w:t>
            </w:r>
          </w:p>
        </w:tc>
        <w:tc>
          <w:tcPr>
            <w:tcW w:w="7563" w:type="dxa"/>
          </w:tcPr>
          <w:p w:rsidR="003A6128" w:rsidRPr="001C6C62" w:rsidRDefault="003A6128" w:rsidP="0024683C">
            <w:pPr>
              <w:rPr>
                <w:sz w:val="24"/>
                <w:lang w:val="vi-VN"/>
              </w:rPr>
            </w:pPr>
            <w:r w:rsidRPr="001C6C62">
              <w:rPr>
                <w:sz w:val="24"/>
                <w:lang w:val="vi-VN"/>
              </w:rPr>
              <w:t>Không bổ sung chỉ số IDI và IPB vì doanh nghiệp đang tham khảo từ bộ chỉ số phát triển ICT của Bộ Khoa học và Công nghệ, chưa thực tiễn kinh nghiệm thế giới và cơ sở áp dụng.</w:t>
            </w:r>
          </w:p>
        </w:tc>
      </w:tr>
      <w:tr w:rsidR="003A6128" w:rsidRPr="000A094E" w:rsidTr="007414A6">
        <w:trPr>
          <w:trHeight w:val="3471"/>
        </w:trPr>
        <w:tc>
          <w:tcPr>
            <w:tcW w:w="674" w:type="dxa"/>
            <w:vMerge/>
            <w:vAlign w:val="center"/>
          </w:tcPr>
          <w:p w:rsidR="003A6128" w:rsidRPr="001C6C62" w:rsidRDefault="003A6128" w:rsidP="008A2475">
            <w:pPr>
              <w:jc w:val="center"/>
              <w:rPr>
                <w:b/>
                <w:sz w:val="24"/>
                <w:lang w:val="vi-VN"/>
              </w:rPr>
            </w:pPr>
          </w:p>
        </w:tc>
        <w:tc>
          <w:tcPr>
            <w:tcW w:w="1561" w:type="dxa"/>
            <w:vMerge/>
            <w:vAlign w:val="center"/>
          </w:tcPr>
          <w:p w:rsidR="003A6128" w:rsidRPr="008A5050" w:rsidRDefault="003A6128" w:rsidP="008A2475">
            <w:pPr>
              <w:jc w:val="center"/>
              <w:rPr>
                <w:b/>
                <w:sz w:val="24"/>
                <w:lang w:val="vi-VN"/>
              </w:rPr>
            </w:pPr>
          </w:p>
        </w:tc>
        <w:tc>
          <w:tcPr>
            <w:tcW w:w="4706" w:type="dxa"/>
          </w:tcPr>
          <w:p w:rsidR="003A6128" w:rsidRPr="008A5050" w:rsidRDefault="003A6128" w:rsidP="00360592">
            <w:pPr>
              <w:rPr>
                <w:b/>
                <w:sz w:val="24"/>
                <w:lang w:val="vi-VN"/>
              </w:rPr>
            </w:pPr>
            <w:r w:rsidRPr="008A5050">
              <w:rPr>
                <w:b/>
                <w:sz w:val="24"/>
                <w:lang w:val="vi-VN"/>
              </w:rPr>
              <w:t>VNPT:</w:t>
            </w:r>
          </w:p>
          <w:p w:rsidR="003A6128" w:rsidRPr="008A5050" w:rsidRDefault="003A6128" w:rsidP="00360592">
            <w:pPr>
              <w:rPr>
                <w:sz w:val="24"/>
                <w:lang w:val="vi-VN"/>
              </w:rPr>
            </w:pPr>
            <w:r w:rsidRPr="008A5050">
              <w:rPr>
                <w:sz w:val="24"/>
                <w:lang w:val="vi-VN"/>
              </w:rPr>
              <w:t xml:space="preserve">- Đề nghị tính toán thử nghiệm Mức thu, với băng tần cho 5G hiện chỉ có các nước dẫn đầu thế giới có kết quả đấu giá, và mức rất cao. </w:t>
            </w:r>
          </w:p>
          <w:p w:rsidR="003A6128" w:rsidRPr="008A5050" w:rsidRDefault="003A6128" w:rsidP="00360592">
            <w:pPr>
              <w:rPr>
                <w:sz w:val="24"/>
                <w:lang w:val="vi-VN"/>
              </w:rPr>
            </w:pPr>
            <w:r w:rsidRPr="008A5050">
              <w:rPr>
                <w:sz w:val="24"/>
                <w:lang w:val="vi-VN"/>
              </w:rPr>
              <w:t>- Đề nghị thử thống kê lập danh sách các nước tương đồng từ 3-7 tài sản so sánh (3-7 nước).</w:t>
            </w:r>
          </w:p>
          <w:p w:rsidR="003A6128" w:rsidRPr="008A5050" w:rsidRDefault="003A6128" w:rsidP="00360592">
            <w:pPr>
              <w:rPr>
                <w:sz w:val="24"/>
                <w:lang w:val="vi-VN"/>
              </w:rPr>
            </w:pPr>
            <w:r w:rsidRPr="008A5050">
              <w:rPr>
                <w:sz w:val="24"/>
                <w:lang w:val="vi-VN"/>
              </w:rPr>
              <w:t xml:space="preserve">- Nếu theo công thức trên, do dân số VN đông nên giá Mức thu sẽ rất cao, gấp 20 lần Singapore, hoặc Lào, Campuchia tương đồng về GDP và CPI thì Việt Nam cũng gấp 20 lần. </w:t>
            </w:r>
          </w:p>
          <w:p w:rsidR="003A6128" w:rsidRPr="008A5050" w:rsidRDefault="003A6128" w:rsidP="00360592">
            <w:pPr>
              <w:rPr>
                <w:sz w:val="24"/>
                <w:lang w:val="vi-VN"/>
              </w:rPr>
            </w:pPr>
            <w:r w:rsidRPr="008A5050">
              <w:rPr>
                <w:sz w:val="24"/>
                <w:lang w:val="vi-VN"/>
              </w:rPr>
              <w:t>- Đề nghị đưa thêm vào công thức Diện tích km2 (phép chia), vì bản chất phủ sóng di động theo diện tích và dân số.</w:t>
            </w:r>
          </w:p>
        </w:tc>
        <w:tc>
          <w:tcPr>
            <w:tcW w:w="7563" w:type="dxa"/>
          </w:tcPr>
          <w:p w:rsidR="003A6128" w:rsidRPr="008A5050" w:rsidRDefault="003A6128" w:rsidP="00F62C80">
            <w:pPr>
              <w:rPr>
                <w:sz w:val="24"/>
                <w:lang w:val="vi-VN"/>
              </w:rPr>
            </w:pPr>
            <w:r w:rsidRPr="008A5050">
              <w:rPr>
                <w:sz w:val="24"/>
                <w:lang w:val="vi-VN"/>
              </w:rPr>
              <w:t>- Đã</w:t>
            </w:r>
            <w:r w:rsidRPr="001C6C62">
              <w:rPr>
                <w:sz w:val="24"/>
                <w:lang w:val="vi-VN"/>
              </w:rPr>
              <w:t xml:space="preserve"> </w:t>
            </w:r>
            <w:r w:rsidRPr="008A5050">
              <w:rPr>
                <w:sz w:val="24"/>
                <w:lang w:val="vi-VN"/>
              </w:rPr>
              <w:t>tính toán thử mức thu đối</w:t>
            </w:r>
            <w:r w:rsidRPr="001C6C62">
              <w:rPr>
                <w:sz w:val="24"/>
                <w:lang w:val="vi-VN"/>
              </w:rPr>
              <w:t xml:space="preserve"> với các băng tần</w:t>
            </w:r>
            <w:r w:rsidRPr="008A5050">
              <w:rPr>
                <w:sz w:val="24"/>
                <w:lang w:val="vi-VN"/>
              </w:rPr>
              <w:t xml:space="preserve"> cho 4G, 5G như băng</w:t>
            </w:r>
            <w:r w:rsidRPr="001C6C62">
              <w:rPr>
                <w:sz w:val="24"/>
                <w:lang w:val="vi-VN"/>
              </w:rPr>
              <w:t xml:space="preserve"> 700 MHz, 2.3 GHz, 2.6 GHz và 26 GHz </w:t>
            </w:r>
            <w:r w:rsidRPr="008A5050">
              <w:rPr>
                <w:sz w:val="24"/>
                <w:lang w:val="vi-VN"/>
              </w:rPr>
              <w:t xml:space="preserve">bằng phương pháp so sánh. Về cơ bản kết quả theo đánh giá của Bộ là hợp lý. </w:t>
            </w:r>
          </w:p>
          <w:p w:rsidR="003A6128" w:rsidRPr="008A5050" w:rsidRDefault="003A6128" w:rsidP="00F62C80">
            <w:pPr>
              <w:rPr>
                <w:sz w:val="24"/>
                <w:lang w:val="vi-VN"/>
              </w:rPr>
            </w:pPr>
            <w:r w:rsidRPr="008A5050">
              <w:rPr>
                <w:sz w:val="24"/>
                <w:lang w:val="vi-VN"/>
              </w:rPr>
              <w:t>- Việc</w:t>
            </w:r>
            <w:r w:rsidRPr="001C6C62">
              <w:rPr>
                <w:sz w:val="24"/>
                <w:lang w:val="vi-VN"/>
              </w:rPr>
              <w:t xml:space="preserve"> thống kê lập danh sách các nước là một phần bắt buộc trong quá trình tiến hành phương pháp so sánh.</w:t>
            </w:r>
          </w:p>
          <w:p w:rsidR="003A6128" w:rsidRPr="008A5050" w:rsidRDefault="003A6128" w:rsidP="00F62C80">
            <w:pPr>
              <w:rPr>
                <w:sz w:val="24"/>
                <w:lang w:val="vi-VN"/>
              </w:rPr>
            </w:pPr>
            <w:r w:rsidRPr="001C6C62">
              <w:rPr>
                <w:sz w:val="24"/>
                <w:lang w:val="vi-VN"/>
              </w:rPr>
              <w:t xml:space="preserve">- </w:t>
            </w:r>
            <w:r w:rsidRPr="008A5050">
              <w:rPr>
                <w:sz w:val="24"/>
                <w:lang w:val="vi-VN"/>
              </w:rPr>
              <w:t>Đề nghị giữ nguyên. Bản chất giá trị kinh tế của băng tần phụ thuộc vào số lượng thuê bao và khả năng chi trả của người dân. Thuê bao càng nhiều thì giá trị băng tần càng cao.</w:t>
            </w:r>
          </w:p>
          <w:p w:rsidR="003A6128" w:rsidRPr="008A5050" w:rsidRDefault="003A6128" w:rsidP="00323845">
            <w:pPr>
              <w:rPr>
                <w:sz w:val="24"/>
                <w:lang w:val="vi-VN"/>
              </w:rPr>
            </w:pPr>
            <w:r w:rsidRPr="008A5050">
              <w:rPr>
                <w:sz w:val="24"/>
                <w:lang w:val="vi-VN"/>
              </w:rPr>
              <w:t>- Không bổ sung diện tích km2 vào công thức vì việc phủ sóng của doanh nghiệp tập trung vào dân số. Ví dụ, có những nước diện tích rất rộng, nhưng diện tích sa mạc cũng rất lớn,</w:t>
            </w:r>
            <w:r w:rsidRPr="001C6C62">
              <w:rPr>
                <w:sz w:val="24"/>
                <w:lang w:val="vi-VN"/>
              </w:rPr>
              <w:t xml:space="preserve"> …</w:t>
            </w:r>
            <w:r w:rsidRPr="008A5050">
              <w:rPr>
                <w:sz w:val="24"/>
                <w:lang w:val="vi-VN"/>
              </w:rPr>
              <w:t xml:space="preserve"> không có người ở thì doanh nghiệp cũng không phủ sóng ở đó. Kinh nghiệm của các tổ chức tư vấn thế giới như Coleago, Nera,</w:t>
            </w:r>
            <w:r w:rsidRPr="001C6C62">
              <w:rPr>
                <w:sz w:val="24"/>
                <w:lang w:val="vi-VN"/>
              </w:rPr>
              <w:t xml:space="preserve"> …</w:t>
            </w:r>
            <w:r w:rsidRPr="008A5050">
              <w:rPr>
                <w:sz w:val="24"/>
                <w:lang w:val="vi-VN"/>
              </w:rPr>
              <w:t xml:space="preserve"> cũng không đưa diện tích vào công thức tính.</w:t>
            </w:r>
          </w:p>
        </w:tc>
      </w:tr>
      <w:tr w:rsidR="003A6128" w:rsidRPr="000A094E" w:rsidTr="001A3FED">
        <w:trPr>
          <w:trHeight w:val="90"/>
        </w:trPr>
        <w:tc>
          <w:tcPr>
            <w:tcW w:w="674" w:type="dxa"/>
            <w:vMerge/>
            <w:vAlign w:val="center"/>
          </w:tcPr>
          <w:p w:rsidR="003A6128" w:rsidRPr="008A5050" w:rsidRDefault="003A6128" w:rsidP="008A2475">
            <w:pPr>
              <w:jc w:val="center"/>
              <w:rPr>
                <w:b/>
                <w:sz w:val="24"/>
                <w:lang w:val="vi-VN"/>
              </w:rPr>
            </w:pPr>
          </w:p>
        </w:tc>
        <w:tc>
          <w:tcPr>
            <w:tcW w:w="1561" w:type="dxa"/>
            <w:vMerge/>
            <w:vAlign w:val="center"/>
          </w:tcPr>
          <w:p w:rsidR="003A6128" w:rsidRPr="008A5050" w:rsidRDefault="003A6128" w:rsidP="008A2475">
            <w:pPr>
              <w:jc w:val="center"/>
              <w:rPr>
                <w:b/>
                <w:sz w:val="24"/>
                <w:lang w:val="vi-VN"/>
              </w:rPr>
            </w:pPr>
          </w:p>
        </w:tc>
        <w:tc>
          <w:tcPr>
            <w:tcW w:w="4706" w:type="dxa"/>
          </w:tcPr>
          <w:p w:rsidR="003A6128" w:rsidRPr="00C61A12" w:rsidRDefault="003A6128" w:rsidP="00E24ADE">
            <w:pPr>
              <w:rPr>
                <w:sz w:val="24"/>
                <w:lang w:val="vi-VN"/>
              </w:rPr>
            </w:pPr>
            <w:r w:rsidRPr="00C5432E">
              <w:rPr>
                <w:b/>
                <w:sz w:val="24"/>
                <w:lang w:val="vi-VN"/>
              </w:rPr>
              <w:t xml:space="preserve">Viettel </w:t>
            </w:r>
            <w:r w:rsidRPr="00C5432E">
              <w:rPr>
                <w:bCs/>
                <w:sz w:val="24"/>
                <w:lang w:val="vi-VN"/>
              </w:rPr>
              <w:t>đề xuất</w:t>
            </w:r>
            <w:r w:rsidRPr="00C61A12">
              <w:rPr>
                <w:sz w:val="24"/>
                <w:lang w:val="vi-VN"/>
              </w:rPr>
              <w:t>:</w:t>
            </w:r>
          </w:p>
          <w:p w:rsidR="003A6128" w:rsidRPr="008A5050" w:rsidRDefault="003A6128" w:rsidP="00E24ADE">
            <w:pPr>
              <w:rPr>
                <w:sz w:val="24"/>
                <w:lang w:val="vi-VN"/>
              </w:rPr>
            </w:pPr>
            <w:r w:rsidRPr="00C61A12">
              <w:rPr>
                <w:sz w:val="24"/>
                <w:lang w:val="vi-VN"/>
              </w:rPr>
              <w:t>-</w:t>
            </w:r>
            <w:r w:rsidRPr="008A5050">
              <w:rPr>
                <w:sz w:val="24"/>
                <w:lang w:val="vi-VN"/>
              </w:rPr>
              <w:t xml:space="preserve"> </w:t>
            </w:r>
            <w:r w:rsidRPr="00C61A12">
              <w:rPr>
                <w:sz w:val="24"/>
                <w:lang w:val="vi-VN"/>
              </w:rPr>
              <w:t>L</w:t>
            </w:r>
            <w:r w:rsidRPr="008A5050">
              <w:rPr>
                <w:sz w:val="24"/>
                <w:lang w:val="vi-VN"/>
              </w:rPr>
              <w:t>ấy toàn bộ các mẫu tham chiếu để tăng độ tin cậy, minh bạch, khách quan của quá trình lấy mẫu. Cụ thể:</w:t>
            </w:r>
          </w:p>
          <w:p w:rsidR="003A6128" w:rsidRPr="008A5050" w:rsidRDefault="003A6128" w:rsidP="00E24ADE">
            <w:pPr>
              <w:rPr>
                <w:i/>
                <w:sz w:val="24"/>
                <w:lang w:val="vi-VN"/>
              </w:rPr>
            </w:pPr>
            <w:r w:rsidRPr="008A5050">
              <w:rPr>
                <w:i/>
                <w:sz w:val="24"/>
                <w:lang w:val="vi-VN"/>
              </w:rPr>
              <w:t xml:space="preserve">2. Lựa chọn tài sản so sánh: Lựa chọn </w:t>
            </w:r>
            <w:r w:rsidRPr="008A5050">
              <w:rPr>
                <w:b/>
                <w:i/>
                <w:sz w:val="24"/>
                <w:lang w:val="vi-VN"/>
              </w:rPr>
              <w:t>toàn bộ các</w:t>
            </w:r>
            <w:r w:rsidRPr="008A5050">
              <w:rPr>
                <w:i/>
                <w:sz w:val="24"/>
                <w:lang w:val="vi-VN"/>
              </w:rPr>
              <w:t xml:space="preserve"> tài sản so sánh từ các nước có thị trường viễn thông cạnh tranh, với từ 03 doanh nghiệp di động trở lên, ở thời điểm 05 năm gần nhất so với thời điểm xác định mức thu. Trường hợp không đủ 03 tài sản</w:t>
            </w:r>
          </w:p>
          <w:p w:rsidR="003A6128" w:rsidRPr="00C61A12" w:rsidRDefault="003A6128" w:rsidP="00E24ADE">
            <w:pPr>
              <w:rPr>
                <w:b/>
                <w:i/>
                <w:sz w:val="24"/>
                <w:lang w:val="vi-VN"/>
              </w:rPr>
            </w:pPr>
            <w:r w:rsidRPr="008A5050">
              <w:rPr>
                <w:i/>
                <w:sz w:val="24"/>
                <w:lang w:val="vi-VN"/>
              </w:rPr>
              <w:t xml:space="preserve">so sánh trong vòng 05 năm thì mở rộng đến 07 năm. </w:t>
            </w:r>
            <w:r w:rsidRPr="008A5050">
              <w:rPr>
                <w:b/>
                <w:i/>
                <w:sz w:val="24"/>
                <w:lang w:val="vi-VN"/>
              </w:rPr>
              <w:t>Các tài sản tham chiếu phải được công bố, công khai minh bạch trên Website của Bộ Thông tin và Truyền thông.</w:t>
            </w:r>
          </w:p>
          <w:p w:rsidR="003A6128" w:rsidRPr="00C61A12" w:rsidRDefault="003A6128" w:rsidP="00E24ADE">
            <w:pPr>
              <w:rPr>
                <w:b/>
                <w:sz w:val="24"/>
                <w:lang w:val="vi-VN"/>
              </w:rPr>
            </w:pPr>
          </w:p>
          <w:p w:rsidR="003A6128" w:rsidRPr="00C375EC" w:rsidRDefault="003A6128" w:rsidP="00C375EC">
            <w:pPr>
              <w:pStyle w:val="ListParagraph"/>
              <w:numPr>
                <w:ilvl w:val="0"/>
                <w:numId w:val="6"/>
              </w:numPr>
              <w:ind w:left="0"/>
              <w:rPr>
                <w:b/>
                <w:lang w:val="vi-VN"/>
              </w:rPr>
            </w:pPr>
            <w:r w:rsidRPr="00C61A12">
              <w:rPr>
                <w:rFonts w:ascii="Times New Roman" w:hAnsi="Times New Roman"/>
                <w:lang w:val="vi-VN"/>
              </w:rPr>
              <w:t>- Làm rõ về số mẫu lấy tham chiếu: Lấy bao nhiêu mẫu? Sở cứ để chọn mẫu?</w:t>
            </w:r>
          </w:p>
        </w:tc>
        <w:tc>
          <w:tcPr>
            <w:tcW w:w="7563" w:type="dxa"/>
          </w:tcPr>
          <w:p w:rsidR="003A6128" w:rsidRPr="00C5432E" w:rsidRDefault="003A6128" w:rsidP="008A7F5C">
            <w:pPr>
              <w:rPr>
                <w:sz w:val="24"/>
                <w:lang w:val="vi-VN"/>
              </w:rPr>
            </w:pPr>
            <w:r w:rsidRPr="00C5432E">
              <w:rPr>
                <w:sz w:val="24"/>
                <w:lang w:val="vi-VN"/>
              </w:rPr>
              <w:t>- Các tiêu chí lựa chọn mẫu được quy định rõ tại khoản 3 Điều 5</w:t>
            </w:r>
            <w:r w:rsidR="00663FBD">
              <w:rPr>
                <w:sz w:val="24"/>
                <w:lang w:val="en-US"/>
              </w:rPr>
              <w:t xml:space="preserve"> (đối với trường hợp sử dụng thông tin về mức thu của Việt Nam), khoản 4, khoản 5 Điều 6 (đối với trường hợp sử dụng thông tin về giá băng tần của các quốc gia và vùng lãnh thổ), với</w:t>
            </w:r>
            <w:r w:rsidRPr="00C5432E">
              <w:rPr>
                <w:sz w:val="24"/>
                <w:lang w:val="vi-VN"/>
              </w:rPr>
              <w:t xml:space="preserve"> </w:t>
            </w:r>
            <w:r w:rsidR="00663FBD">
              <w:rPr>
                <w:sz w:val="24"/>
                <w:lang w:val="en-US"/>
              </w:rPr>
              <w:t>s</w:t>
            </w:r>
            <w:r w:rsidRPr="00C5432E">
              <w:rPr>
                <w:sz w:val="24"/>
                <w:lang w:val="vi-VN"/>
              </w:rPr>
              <w:t>ố lượng mẫu tối thiểu là 03 mẫu.</w:t>
            </w:r>
          </w:p>
          <w:p w:rsidR="003A6128" w:rsidRPr="00C5432E" w:rsidRDefault="003A6128" w:rsidP="008A7F5C">
            <w:pPr>
              <w:rPr>
                <w:sz w:val="24"/>
                <w:lang w:val="vi-VN"/>
              </w:rPr>
            </w:pPr>
            <w:r w:rsidRPr="00C5432E">
              <w:rPr>
                <w:sz w:val="24"/>
                <w:lang w:val="vi-VN"/>
              </w:rPr>
              <w:t>- Việc thu thập thông tin, chọn mẫu do tổ chức chuyên môn thẩm định giá thực hiện</w:t>
            </w:r>
            <w:r w:rsidRPr="00C61A12">
              <w:rPr>
                <w:sz w:val="24"/>
                <w:lang w:val="vi-VN"/>
              </w:rPr>
              <w:t xml:space="preserve"> theo quy định của Nghị định</w:t>
            </w:r>
            <w:r w:rsidRPr="00C5432E">
              <w:rPr>
                <w:sz w:val="24"/>
                <w:lang w:val="vi-VN"/>
              </w:rPr>
              <w:t>.</w:t>
            </w:r>
          </w:p>
          <w:p w:rsidR="003A6128" w:rsidRPr="00C61A12" w:rsidRDefault="003A6128">
            <w:pPr>
              <w:rPr>
                <w:sz w:val="24"/>
                <w:lang w:val="vi-VN"/>
              </w:rPr>
            </w:pPr>
            <w:r w:rsidRPr="008A5050">
              <w:rPr>
                <w:sz w:val="24"/>
                <w:lang w:val="vi-VN"/>
              </w:rPr>
              <w:t xml:space="preserve">- Không quy định </w:t>
            </w:r>
            <w:r w:rsidRPr="00C61A12">
              <w:rPr>
                <w:sz w:val="24"/>
                <w:lang w:val="vi-VN"/>
              </w:rPr>
              <w:t xml:space="preserve">cứng là phải </w:t>
            </w:r>
            <w:r w:rsidRPr="008A5050">
              <w:rPr>
                <w:sz w:val="24"/>
                <w:lang w:val="vi-VN"/>
              </w:rPr>
              <w:t xml:space="preserve">lựa chọn “toàn bộ” vì không </w:t>
            </w:r>
            <w:r w:rsidR="00572728" w:rsidRPr="001A3FED">
              <w:rPr>
                <w:sz w:val="24"/>
                <w:lang w:val="vi-VN"/>
              </w:rPr>
              <w:t>có cơ sở để</w:t>
            </w:r>
            <w:r w:rsidRPr="008A5050">
              <w:rPr>
                <w:sz w:val="24"/>
                <w:lang w:val="vi-VN"/>
              </w:rPr>
              <w:t xml:space="preserve"> khẳng định có thể tìm được tất cả các tài sản so sánh. Quy định này cũng phù hợp với nguyên tắc lựa chọn tài sánh theo Tiêu chuẩn thẩm định giá Việt Nam, chỉ quy định số tài sản tối thiểu trong thời hạn nhất định.</w:t>
            </w:r>
            <w:r w:rsidRPr="00C61A12">
              <w:rPr>
                <w:sz w:val="24"/>
                <w:lang w:val="vi-VN"/>
              </w:rPr>
              <w:t xml:space="preserve"> Tuy nhiên, để tăng độ tin cậy và để thuyết trình được với cơ quan quản lý, </w:t>
            </w:r>
            <w:r w:rsidR="00572728" w:rsidRPr="001A3FED">
              <w:rPr>
                <w:sz w:val="24"/>
                <w:lang w:val="vi-VN"/>
              </w:rPr>
              <w:t xml:space="preserve">khi xác định </w:t>
            </w:r>
            <w:r w:rsidRPr="00C61A12">
              <w:rPr>
                <w:sz w:val="24"/>
                <w:lang w:val="vi-VN"/>
              </w:rPr>
              <w:t>thông thường sẽ tìm nhiều hơn 03 mẫu so sánh (nếu có thể) khi tính toán.</w:t>
            </w:r>
          </w:p>
          <w:p w:rsidR="003A6128" w:rsidRPr="008A5050" w:rsidRDefault="003A6128">
            <w:pPr>
              <w:rPr>
                <w:sz w:val="24"/>
                <w:lang w:val="vi-VN"/>
              </w:rPr>
            </w:pPr>
            <w:r w:rsidRPr="008A5050">
              <w:rPr>
                <w:sz w:val="24"/>
                <w:lang w:val="vi-VN"/>
              </w:rPr>
              <w:t xml:space="preserve">- Không quy định việc công bố, công khai các tài sản tham chiếu trên website của Bộ TTTT vì việc thu thập thông tin, chọn mẫu </w:t>
            </w:r>
            <w:r w:rsidR="00572728" w:rsidRPr="001A3FED">
              <w:rPr>
                <w:sz w:val="24"/>
                <w:lang w:val="vi-VN"/>
              </w:rPr>
              <w:t xml:space="preserve">thường sẽ </w:t>
            </w:r>
            <w:r w:rsidRPr="008A5050">
              <w:rPr>
                <w:sz w:val="24"/>
                <w:lang w:val="vi-VN"/>
              </w:rPr>
              <w:t>do tổ chức chuyên môn thẩm định giá thực hiện.</w:t>
            </w:r>
          </w:p>
        </w:tc>
      </w:tr>
      <w:tr w:rsidR="003A6128" w:rsidRPr="000A094E" w:rsidTr="001A3FED">
        <w:trPr>
          <w:trHeight w:val="2483"/>
        </w:trPr>
        <w:tc>
          <w:tcPr>
            <w:tcW w:w="674" w:type="dxa"/>
            <w:vMerge/>
            <w:vAlign w:val="center"/>
          </w:tcPr>
          <w:p w:rsidR="003A6128" w:rsidRPr="008A5050" w:rsidRDefault="003A6128" w:rsidP="008A2475">
            <w:pPr>
              <w:jc w:val="center"/>
              <w:rPr>
                <w:b/>
                <w:sz w:val="24"/>
                <w:lang w:val="vi-VN"/>
              </w:rPr>
            </w:pPr>
          </w:p>
        </w:tc>
        <w:tc>
          <w:tcPr>
            <w:tcW w:w="1561" w:type="dxa"/>
            <w:vMerge/>
            <w:vAlign w:val="center"/>
          </w:tcPr>
          <w:p w:rsidR="003A6128" w:rsidRPr="008A5050" w:rsidRDefault="003A6128" w:rsidP="008A2475">
            <w:pPr>
              <w:jc w:val="center"/>
              <w:rPr>
                <w:b/>
                <w:sz w:val="24"/>
                <w:lang w:val="vi-VN"/>
              </w:rPr>
            </w:pPr>
          </w:p>
        </w:tc>
        <w:tc>
          <w:tcPr>
            <w:tcW w:w="4706" w:type="dxa"/>
          </w:tcPr>
          <w:p w:rsidR="003A6128" w:rsidRPr="008A5050" w:rsidRDefault="003A6128" w:rsidP="00360592">
            <w:pPr>
              <w:rPr>
                <w:b/>
                <w:sz w:val="24"/>
                <w:lang w:val="vi-VN"/>
              </w:rPr>
            </w:pPr>
            <w:r w:rsidRPr="008A5050">
              <w:rPr>
                <w:b/>
                <w:sz w:val="24"/>
                <w:lang w:val="vi-VN"/>
              </w:rPr>
              <w:t>Khoản 3 Điều 5:</w:t>
            </w:r>
          </w:p>
          <w:p w:rsidR="003A6128" w:rsidRPr="008A5050" w:rsidRDefault="003A6128" w:rsidP="00C075C2">
            <w:pPr>
              <w:rPr>
                <w:sz w:val="24"/>
                <w:lang w:val="vi-VN"/>
              </w:rPr>
            </w:pPr>
            <w:r w:rsidRPr="008A5050">
              <w:rPr>
                <w:sz w:val="24"/>
                <w:lang w:val="vi-VN"/>
              </w:rPr>
              <w:t>Đề nghị bỏ đoạn “, trường hợp không đủ 03 tài sản so sánh thì lựa chọn băng tần giống băng tần cần xác định mức thu và cùng công nghệ vô tuyến”.</w:t>
            </w:r>
          </w:p>
          <w:p w:rsidR="003A6128" w:rsidRPr="008A5050" w:rsidRDefault="003A6128" w:rsidP="00C075C2">
            <w:pPr>
              <w:rPr>
                <w:i/>
                <w:sz w:val="24"/>
                <w:lang w:val="vi-VN"/>
              </w:rPr>
            </w:pPr>
            <w:r w:rsidRPr="008A5050">
              <w:rPr>
                <w:i/>
                <w:sz w:val="24"/>
                <w:lang w:val="vi-VN"/>
              </w:rPr>
              <w:t>Lý do: Khi đấu thầu thì phải tham chiếu mức thu trên cùng mã băng để đảm bảo tương đồng về mặt giá trị sử dụng của tần số.</w:t>
            </w:r>
          </w:p>
          <w:p w:rsidR="003A6128" w:rsidRPr="008A5050" w:rsidRDefault="003A6128" w:rsidP="00360592">
            <w:pPr>
              <w:rPr>
                <w:b/>
                <w:sz w:val="24"/>
                <w:lang w:val="vi-VN"/>
              </w:rPr>
            </w:pPr>
            <w:r w:rsidRPr="008A5050">
              <w:rPr>
                <w:i/>
                <w:sz w:val="24"/>
                <w:lang w:val="vi-VN"/>
              </w:rPr>
              <w:t>Ví dụ: Không thể tham chiếu n77 vào n78; không thể tham chiếu b41 vào b38.</w:t>
            </w:r>
          </w:p>
        </w:tc>
        <w:tc>
          <w:tcPr>
            <w:tcW w:w="7563" w:type="dxa"/>
          </w:tcPr>
          <w:p w:rsidR="003A6128" w:rsidRPr="008A5050" w:rsidRDefault="003A6128">
            <w:pPr>
              <w:rPr>
                <w:sz w:val="24"/>
                <w:lang w:val="vi-VN"/>
              </w:rPr>
            </w:pPr>
            <w:r w:rsidRPr="008A5050">
              <w:rPr>
                <w:sz w:val="24"/>
                <w:lang w:val="vi-VN"/>
              </w:rPr>
              <w:t>Đề nghị giữ nguyên.  Vì chỉ khi không chọn đủ tài sản “cùng loại” mới phải chọn tài sản “tương đương”. Việc lựa chọn cùng băng tần và cùng công nghệ đảm bảo tính tương đồng nhất của tài sản so sánh, phù hợp với kinh nghiệm thế giới và Tiêu chuẩn thẩm định giá Việt Nam.</w:t>
            </w:r>
          </w:p>
          <w:p w:rsidR="003A6128" w:rsidRPr="008A5050" w:rsidRDefault="003A6128" w:rsidP="000E68A5">
            <w:pPr>
              <w:rPr>
                <w:sz w:val="24"/>
                <w:lang w:val="vi-VN"/>
              </w:rPr>
            </w:pPr>
          </w:p>
        </w:tc>
      </w:tr>
      <w:tr w:rsidR="003A6128" w:rsidRPr="000A094E" w:rsidTr="001A3FED">
        <w:trPr>
          <w:trHeight w:val="90"/>
        </w:trPr>
        <w:tc>
          <w:tcPr>
            <w:tcW w:w="674" w:type="dxa"/>
            <w:vMerge/>
            <w:vAlign w:val="center"/>
          </w:tcPr>
          <w:p w:rsidR="003A6128" w:rsidRPr="008A5050" w:rsidRDefault="003A6128" w:rsidP="008A2475">
            <w:pPr>
              <w:jc w:val="center"/>
              <w:rPr>
                <w:b/>
                <w:sz w:val="24"/>
                <w:lang w:val="vi-VN"/>
              </w:rPr>
            </w:pPr>
          </w:p>
        </w:tc>
        <w:tc>
          <w:tcPr>
            <w:tcW w:w="1561" w:type="dxa"/>
            <w:vMerge/>
            <w:vAlign w:val="center"/>
          </w:tcPr>
          <w:p w:rsidR="003A6128" w:rsidRPr="008A5050" w:rsidRDefault="003A6128" w:rsidP="008A2475">
            <w:pPr>
              <w:jc w:val="center"/>
              <w:rPr>
                <w:b/>
                <w:sz w:val="24"/>
                <w:lang w:val="vi-VN"/>
              </w:rPr>
            </w:pPr>
          </w:p>
        </w:tc>
        <w:tc>
          <w:tcPr>
            <w:tcW w:w="4706" w:type="dxa"/>
          </w:tcPr>
          <w:p w:rsidR="003A6128" w:rsidRDefault="003A6128" w:rsidP="00360592">
            <w:pPr>
              <w:rPr>
                <w:bCs/>
                <w:sz w:val="24"/>
                <w:lang w:val="vi-VN"/>
              </w:rPr>
            </w:pPr>
            <w:r w:rsidRPr="00F14ED8">
              <w:rPr>
                <w:b/>
                <w:sz w:val="24"/>
                <w:lang w:val="vi-VN"/>
              </w:rPr>
              <w:t xml:space="preserve">Viettel </w:t>
            </w:r>
            <w:r w:rsidRPr="00F14ED8">
              <w:rPr>
                <w:bCs/>
                <w:sz w:val="24"/>
                <w:lang w:val="vi-VN"/>
              </w:rPr>
              <w:t>đề xuất Cục làm rõ thế nào là liền trước, liền sau và cách ưu tiên chọn tần liền trước, liền sau để tham chiếu.</w:t>
            </w:r>
          </w:p>
          <w:p w:rsidR="003A6128" w:rsidRPr="008A5050" w:rsidRDefault="003A6128" w:rsidP="003A6128">
            <w:pPr>
              <w:rPr>
                <w:b/>
                <w:sz w:val="24"/>
                <w:lang w:val="vi-VN"/>
              </w:rPr>
            </w:pPr>
          </w:p>
        </w:tc>
        <w:tc>
          <w:tcPr>
            <w:tcW w:w="7563" w:type="dxa"/>
          </w:tcPr>
          <w:p w:rsidR="003A6128" w:rsidRPr="006E433C" w:rsidRDefault="004D7E7A">
            <w:pPr>
              <w:rPr>
                <w:sz w:val="24"/>
                <w:lang w:val="en-US"/>
              </w:rPr>
            </w:pPr>
            <w:r>
              <w:rPr>
                <w:sz w:val="24"/>
                <w:lang w:val="en-US"/>
              </w:rPr>
              <w:t>Tiếp thu</w:t>
            </w:r>
          </w:p>
        </w:tc>
      </w:tr>
      <w:tr w:rsidR="003A6128" w:rsidRPr="000A094E" w:rsidTr="001A3FED">
        <w:trPr>
          <w:trHeight w:val="90"/>
        </w:trPr>
        <w:tc>
          <w:tcPr>
            <w:tcW w:w="674" w:type="dxa"/>
            <w:vMerge/>
            <w:vAlign w:val="center"/>
          </w:tcPr>
          <w:p w:rsidR="003A6128" w:rsidRPr="008A5050" w:rsidRDefault="003A6128" w:rsidP="008A2475">
            <w:pPr>
              <w:jc w:val="center"/>
              <w:rPr>
                <w:b/>
                <w:sz w:val="24"/>
                <w:lang w:val="vi-VN"/>
              </w:rPr>
            </w:pPr>
          </w:p>
        </w:tc>
        <w:tc>
          <w:tcPr>
            <w:tcW w:w="1561" w:type="dxa"/>
            <w:vMerge/>
            <w:vAlign w:val="center"/>
          </w:tcPr>
          <w:p w:rsidR="003A6128" w:rsidRPr="008A5050" w:rsidRDefault="003A6128" w:rsidP="008A2475">
            <w:pPr>
              <w:jc w:val="center"/>
              <w:rPr>
                <w:b/>
                <w:sz w:val="24"/>
                <w:lang w:val="vi-VN"/>
              </w:rPr>
            </w:pPr>
          </w:p>
        </w:tc>
        <w:tc>
          <w:tcPr>
            <w:tcW w:w="4706" w:type="dxa"/>
          </w:tcPr>
          <w:p w:rsidR="003A6128" w:rsidRDefault="003A6128" w:rsidP="003A6128">
            <w:pPr>
              <w:rPr>
                <w:sz w:val="24"/>
                <w:lang w:val="vi-VN"/>
              </w:rPr>
            </w:pPr>
            <w:r w:rsidRPr="001C6C62">
              <w:rPr>
                <w:b/>
                <w:sz w:val="24"/>
                <w:lang w:val="vi-VN"/>
              </w:rPr>
              <w:t>Viettel</w:t>
            </w:r>
            <w:r w:rsidRPr="001C6C62">
              <w:rPr>
                <w:sz w:val="24"/>
                <w:lang w:val="vi-VN"/>
              </w:rPr>
              <w:t>:</w:t>
            </w:r>
          </w:p>
          <w:p w:rsidR="003A6128" w:rsidRPr="00223986" w:rsidRDefault="003A6128" w:rsidP="003A6128">
            <w:pPr>
              <w:rPr>
                <w:b/>
                <w:iCs/>
                <w:sz w:val="24"/>
                <w:lang w:val="vi-VN"/>
              </w:rPr>
            </w:pPr>
            <w:r w:rsidRPr="00223986">
              <w:rPr>
                <w:iCs/>
                <w:sz w:val="24"/>
                <w:lang w:val="vi-VN"/>
              </w:rPr>
              <w:t>- đề xuất lựa chọn 01 phương án áp dụng để tính mức thu</w:t>
            </w:r>
            <w:r>
              <w:rPr>
                <w:iCs/>
                <w:sz w:val="24"/>
                <w:lang w:val="vi-VN"/>
              </w:rPr>
              <w:t>.</w:t>
            </w:r>
          </w:p>
          <w:p w:rsidR="003A6128" w:rsidRPr="008A5050" w:rsidRDefault="003A6128" w:rsidP="003A6128">
            <w:pPr>
              <w:rPr>
                <w:b/>
                <w:sz w:val="24"/>
                <w:lang w:val="vi-VN"/>
              </w:rPr>
            </w:pPr>
            <w:r>
              <w:rPr>
                <w:sz w:val="24"/>
                <w:lang w:val="vi-VN"/>
              </w:rPr>
              <w:t>- đ</w:t>
            </w:r>
            <w:r w:rsidRPr="001C6C62">
              <w:rPr>
                <w:sz w:val="24"/>
                <w:lang w:val="vi-VN"/>
              </w:rPr>
              <w:t xml:space="preserve">ề xuất quy định cụ thể cách tính Kđc và Kvp. </w:t>
            </w:r>
            <w:r>
              <w:rPr>
                <w:sz w:val="24"/>
                <w:lang w:val="vi-VN"/>
              </w:rPr>
              <w:t>Và các thông số khác: A, B, C, D.</w:t>
            </w:r>
          </w:p>
          <w:p w:rsidR="003A6128" w:rsidRPr="00F14ED8" w:rsidRDefault="003A6128" w:rsidP="003A6128">
            <w:pPr>
              <w:rPr>
                <w:b/>
                <w:sz w:val="24"/>
                <w:lang w:val="vi-VN"/>
              </w:rPr>
            </w:pPr>
            <w:r>
              <w:rPr>
                <w:b/>
                <w:sz w:val="24"/>
                <w:lang w:val="vi-VN"/>
              </w:rPr>
              <w:t xml:space="preserve">- </w:t>
            </w:r>
            <w:r w:rsidRPr="001C6C62">
              <w:rPr>
                <w:sz w:val="24"/>
                <w:lang w:val="vi-VN"/>
              </w:rPr>
              <w:t>Quy định rõ băng tần nào tham chiếu cho băng tần nào.</w:t>
            </w:r>
          </w:p>
        </w:tc>
        <w:tc>
          <w:tcPr>
            <w:tcW w:w="7563" w:type="dxa"/>
          </w:tcPr>
          <w:p w:rsidR="003A6128" w:rsidRPr="003A6128" w:rsidRDefault="003A6128" w:rsidP="003A6128">
            <w:pPr>
              <w:rPr>
                <w:sz w:val="24"/>
                <w:lang w:val="vi-VN"/>
              </w:rPr>
            </w:pPr>
            <w:r w:rsidRPr="003A6128">
              <w:rPr>
                <w:sz w:val="24"/>
                <w:lang w:val="vi-VN"/>
              </w:rPr>
              <w:t>- Phương pháp hệ số đã bỏ trong dự thảo Nghị định (giải thích chi tiết ở mục dưới).</w:t>
            </w:r>
          </w:p>
          <w:p w:rsidR="003A6128" w:rsidRPr="003A6128" w:rsidRDefault="003A6128" w:rsidP="003A6128">
            <w:pPr>
              <w:rPr>
                <w:sz w:val="24"/>
                <w:lang w:val="vi-VN"/>
              </w:rPr>
            </w:pPr>
            <w:r w:rsidRPr="003A6128">
              <w:rPr>
                <w:sz w:val="24"/>
                <w:lang w:val="vi-VN"/>
              </w:rPr>
              <w:t>- Sau khi nghiên cứu Tiêu chuẩn thẩm định giá Việt Nam, Bộ Thông tin và Truyền thông thấy rằng do tần số vô tuyến điện có tính đặc thù, không thể áp dụng nguyên vẹn Tiêu chuẩn thẩm định giá Việt Nam mà chỉ có thể áp dụng các nguyên tắc cơ bản của phương pháp so sánh trong Tiêu chuẩn này để xây dựng phương pháp xác định mức thu. Đối với các phương pháp khác của Tiêu chuẩn thẩm định giá Việt Nam với tài sản vô hình:</w:t>
            </w:r>
          </w:p>
          <w:p w:rsidR="003A6128" w:rsidRPr="003A6128" w:rsidRDefault="003A6128" w:rsidP="003A6128">
            <w:pPr>
              <w:rPr>
                <w:sz w:val="24"/>
                <w:lang w:val="vi-VN"/>
              </w:rPr>
            </w:pPr>
            <w:r w:rsidRPr="003A6128">
              <w:rPr>
                <w:sz w:val="24"/>
                <w:lang w:val="vi-VN"/>
              </w:rPr>
              <w:t>(1) Theo cách tiếp cận từ chi phí thì không áp dụng được do tần số là tài nguyên thiên nhiên, không có chi phí tái tạo tần số;</w:t>
            </w:r>
          </w:p>
          <w:p w:rsidR="003A6128" w:rsidRDefault="003A6128" w:rsidP="003A6128">
            <w:pPr>
              <w:rPr>
                <w:sz w:val="24"/>
                <w:lang w:val="vi-VN"/>
              </w:rPr>
            </w:pPr>
            <w:r w:rsidRPr="003A6128">
              <w:rPr>
                <w:sz w:val="24"/>
                <w:lang w:val="vi-VN"/>
              </w:rPr>
              <w:t>(2) Theo cách tiếp cận từ thu nhập thì việc ước tính lợi nhuận kỳ vọng, chi phí tiết kiệm được và các dòng thu nhập trong tương lai tạo ra cho doanh nghiệp khi sử dụng tài sản mang nhiều yếu tố giả định nên không đủ tin cậy. Trên cơ sở đó, không sử dụng 02 phương pháp này trong tính toán mức thu tiền sử dụng băng tần và không quy định trong dự thảo Nghị định.</w:t>
            </w:r>
          </w:p>
        </w:tc>
      </w:tr>
      <w:tr w:rsidR="007B6505" w:rsidRPr="000A094E" w:rsidTr="001A3FED">
        <w:trPr>
          <w:trHeight w:val="79"/>
        </w:trPr>
        <w:tc>
          <w:tcPr>
            <w:tcW w:w="674" w:type="dxa"/>
            <w:vAlign w:val="center"/>
          </w:tcPr>
          <w:p w:rsidR="007B6505" w:rsidRPr="001C6C62" w:rsidRDefault="007B6505" w:rsidP="008A2475">
            <w:pPr>
              <w:jc w:val="center"/>
              <w:rPr>
                <w:b/>
                <w:sz w:val="24"/>
                <w:lang w:val="vi-VN"/>
              </w:rPr>
            </w:pPr>
            <w:r>
              <w:rPr>
                <w:b/>
                <w:sz w:val="24"/>
                <w:lang w:val="vi-VN"/>
              </w:rPr>
              <w:t>5</w:t>
            </w:r>
          </w:p>
        </w:tc>
        <w:tc>
          <w:tcPr>
            <w:tcW w:w="1561" w:type="dxa"/>
            <w:vAlign w:val="center"/>
          </w:tcPr>
          <w:p w:rsidR="007B6505" w:rsidRPr="006F5271" w:rsidRDefault="007B6505" w:rsidP="006F5271">
            <w:pPr>
              <w:jc w:val="center"/>
              <w:rPr>
                <w:b/>
                <w:sz w:val="24"/>
                <w:lang w:val="en-US"/>
              </w:rPr>
            </w:pPr>
            <w:r w:rsidRPr="008A5050">
              <w:rPr>
                <w:b/>
                <w:sz w:val="24"/>
                <w:lang w:val="vi-VN"/>
              </w:rPr>
              <w:t xml:space="preserve">Quy trình xác định, phê duyệt </w:t>
            </w:r>
            <w:r w:rsidR="006F5271">
              <w:rPr>
                <w:b/>
                <w:sz w:val="24"/>
                <w:lang w:val="en-US"/>
              </w:rPr>
              <w:lastRenderedPageBreak/>
              <w:t>đơn giá băng tần</w:t>
            </w:r>
          </w:p>
        </w:tc>
        <w:tc>
          <w:tcPr>
            <w:tcW w:w="4706" w:type="dxa"/>
          </w:tcPr>
          <w:p w:rsidR="007B6505" w:rsidRPr="001C6C62" w:rsidRDefault="007B6505" w:rsidP="007B6505">
            <w:pPr>
              <w:rPr>
                <w:b/>
                <w:sz w:val="24"/>
                <w:lang w:val="vi-VN"/>
              </w:rPr>
            </w:pPr>
            <w:r w:rsidRPr="001C6C62">
              <w:rPr>
                <w:b/>
                <w:sz w:val="24"/>
                <w:lang w:val="vi-VN"/>
              </w:rPr>
              <w:lastRenderedPageBreak/>
              <w:t xml:space="preserve">VNPT: </w:t>
            </w:r>
          </w:p>
          <w:p w:rsidR="007B6505" w:rsidRPr="001C6C62" w:rsidRDefault="007B6505" w:rsidP="007B6505">
            <w:pPr>
              <w:rPr>
                <w:sz w:val="24"/>
                <w:lang w:val="vi-VN"/>
              </w:rPr>
            </w:pPr>
            <w:r w:rsidRPr="001C6C62">
              <w:rPr>
                <w:sz w:val="24"/>
                <w:lang w:val="vi-VN"/>
              </w:rPr>
              <w:t xml:space="preserve">Xem xét lại hiệu lực của </w:t>
            </w:r>
            <w:r w:rsidR="006F5271">
              <w:rPr>
                <w:sz w:val="24"/>
                <w:lang w:val="en-US"/>
              </w:rPr>
              <w:t>đơn giá băng tần</w:t>
            </w:r>
            <w:r w:rsidRPr="001C6C62">
              <w:rPr>
                <w:sz w:val="24"/>
                <w:lang w:val="vi-VN"/>
              </w:rPr>
              <w:t xml:space="preserve"> nếu tối đa 01 năm thì khó khả thi, đề nghị 3 năm; </w:t>
            </w:r>
          </w:p>
          <w:p w:rsidR="007B6505" w:rsidRPr="001C6C62" w:rsidRDefault="007B6505" w:rsidP="007B6505">
            <w:pPr>
              <w:rPr>
                <w:sz w:val="24"/>
                <w:lang w:val="en-US"/>
              </w:rPr>
            </w:pPr>
            <w:r w:rsidRPr="001C6C62">
              <w:rPr>
                <w:sz w:val="24"/>
                <w:lang w:val="en-US"/>
              </w:rPr>
              <w:lastRenderedPageBreak/>
              <w:t>Cần có qui định thời gian:</w:t>
            </w:r>
          </w:p>
          <w:p w:rsidR="007B6505" w:rsidRPr="001C6C62" w:rsidRDefault="007B6505" w:rsidP="007B6505">
            <w:pPr>
              <w:rPr>
                <w:sz w:val="24"/>
                <w:lang w:val="en-US"/>
              </w:rPr>
            </w:pPr>
            <w:r w:rsidRPr="001C6C62">
              <w:rPr>
                <w:sz w:val="24"/>
                <w:lang w:val="en-US"/>
              </w:rPr>
              <w:t>Thời gian thuê tư vấn xác định?</w:t>
            </w:r>
          </w:p>
          <w:p w:rsidR="007B6505" w:rsidRPr="001C6C62" w:rsidRDefault="007B6505" w:rsidP="007B6505">
            <w:pPr>
              <w:rPr>
                <w:sz w:val="24"/>
                <w:lang w:val="en-US"/>
              </w:rPr>
            </w:pPr>
            <w:r w:rsidRPr="001C6C62">
              <w:rPr>
                <w:sz w:val="24"/>
                <w:lang w:val="en-US"/>
              </w:rPr>
              <w:t>Đơn vị nào được coi là đủ năng lực tư vấn?</w:t>
            </w:r>
          </w:p>
          <w:p w:rsidR="007B6505" w:rsidRPr="001C6C62" w:rsidRDefault="007B6505" w:rsidP="007B6505">
            <w:pPr>
              <w:rPr>
                <w:sz w:val="24"/>
                <w:lang w:val="en-US"/>
              </w:rPr>
            </w:pPr>
            <w:r w:rsidRPr="001C6C62">
              <w:rPr>
                <w:sz w:val="24"/>
                <w:lang w:val="en-US"/>
              </w:rPr>
              <w:t>Thời gian nào Bộ Tài chính hoàn thành thẩm định? Chức năng của Bộ tài chính trong việc thẩm định tài sản là Tần số?</w:t>
            </w:r>
          </w:p>
          <w:p w:rsidR="007B6505" w:rsidRPr="001C6C62" w:rsidRDefault="007B6505" w:rsidP="007B6505">
            <w:pPr>
              <w:rPr>
                <w:sz w:val="24"/>
                <w:lang w:val="en-US"/>
              </w:rPr>
            </w:pPr>
            <w:r w:rsidRPr="001C6C62">
              <w:rPr>
                <w:sz w:val="24"/>
                <w:lang w:val="en-US"/>
              </w:rPr>
              <w:t xml:space="preserve"> Phê duyệt: Thủ tướng Chính phủ (hoặc Bộ Thông tin và Truyền thông) phê duyệt</w:t>
            </w:r>
            <w:r w:rsidRPr="001C6C62">
              <w:rPr>
                <w:sz w:val="24"/>
                <w:lang w:val="vi-VN"/>
              </w:rPr>
              <w:t xml:space="preserve"> </w:t>
            </w:r>
          </w:p>
          <w:p w:rsidR="007B6505" w:rsidRPr="00F14ED8" w:rsidRDefault="007B6505" w:rsidP="007B6505">
            <w:pPr>
              <w:rPr>
                <w:b/>
                <w:sz w:val="24"/>
                <w:lang w:val="vi-VN"/>
              </w:rPr>
            </w:pPr>
            <w:r w:rsidRPr="001C6C62">
              <w:rPr>
                <w:sz w:val="24"/>
                <w:lang w:val="en-US"/>
              </w:rPr>
              <w:t xml:space="preserve"> Đề nghị 1 đầu mối phê duyệt là Bộ TT&amp;TT;</w:t>
            </w:r>
            <w:r w:rsidRPr="001C6C62">
              <w:rPr>
                <w:b/>
                <w:sz w:val="24"/>
                <w:lang w:val="en-US"/>
              </w:rPr>
              <w:t xml:space="preserve">  </w:t>
            </w:r>
          </w:p>
        </w:tc>
        <w:tc>
          <w:tcPr>
            <w:tcW w:w="7563" w:type="dxa"/>
          </w:tcPr>
          <w:p w:rsidR="007B6505" w:rsidRPr="00842678" w:rsidRDefault="007B6505" w:rsidP="007B6505">
            <w:pPr>
              <w:rPr>
                <w:sz w:val="24"/>
                <w:lang w:val="vi-VN"/>
              </w:rPr>
            </w:pPr>
            <w:r w:rsidRPr="00842678">
              <w:rPr>
                <w:sz w:val="24"/>
                <w:lang w:val="vi-VN"/>
              </w:rPr>
              <w:lastRenderedPageBreak/>
              <w:t>- Bỏ khoản 2 Điều này: “Mức thu có hiệu lực thi hành trong thời hạn tối đa là 01 năm kể từ ngày được phê duyệt, làm cơ sở cho việc xác định giá khởi điểm để đấu giá quyền sử dụng tần số vô tuyến điện”.</w:t>
            </w:r>
          </w:p>
          <w:p w:rsidR="007B6505" w:rsidRPr="00842678" w:rsidRDefault="007B6505" w:rsidP="007B6505">
            <w:pPr>
              <w:rPr>
                <w:sz w:val="24"/>
                <w:lang w:val="vi-VN"/>
              </w:rPr>
            </w:pPr>
            <w:r w:rsidRPr="00842678">
              <w:rPr>
                <w:sz w:val="24"/>
                <w:lang w:val="vi-VN"/>
              </w:rPr>
              <w:lastRenderedPageBreak/>
              <w:t xml:space="preserve"> - </w:t>
            </w:r>
            <w:r w:rsidRPr="00BF4C85">
              <w:rPr>
                <w:sz w:val="24"/>
                <w:lang w:val="vi-VN"/>
              </w:rPr>
              <w:t xml:space="preserve">Bộ Thông tin và Truyền thông xác định </w:t>
            </w:r>
            <w:r w:rsidR="00663FBD">
              <w:rPr>
                <w:sz w:val="24"/>
                <w:lang w:val="en-US"/>
              </w:rPr>
              <w:t>đơn giá băng tần</w:t>
            </w:r>
            <w:r w:rsidRPr="00BF4C85">
              <w:rPr>
                <w:sz w:val="24"/>
                <w:lang w:val="vi-VN"/>
              </w:rPr>
              <w:t xml:space="preserve"> theo quy định tại Nghị định này, gửi Bộ Tài chính để thẩm định</w:t>
            </w:r>
            <w:r w:rsidRPr="00842678">
              <w:rPr>
                <w:sz w:val="24"/>
                <w:lang w:val="vi-VN"/>
              </w:rPr>
              <w:t>, thời gian thẩm định tối đa của Bộ Tài chính là 20 ngày. Việc thẩm định của Bộ TC là xem xét các bước thực hiện có tuân theo quy định của Nghị định hay không; không tính toán lại số liệu.</w:t>
            </w:r>
          </w:p>
          <w:p w:rsidR="007B6505" w:rsidRPr="00842678" w:rsidRDefault="007B6505" w:rsidP="007B6505">
            <w:pPr>
              <w:rPr>
                <w:sz w:val="24"/>
                <w:lang w:val="vi-VN"/>
              </w:rPr>
            </w:pPr>
            <w:r w:rsidRPr="00842678">
              <w:rPr>
                <w:sz w:val="24"/>
                <w:lang w:val="vi-VN"/>
              </w:rPr>
              <w:t>- Thủ tướng Chính phủ xem xét, quyết định</w:t>
            </w:r>
            <w:r w:rsidR="00E87FB6">
              <w:rPr>
                <w:sz w:val="24"/>
                <w:lang w:val="en-US"/>
              </w:rPr>
              <w:t xml:space="preserve"> đơn giá băng tầ</w:t>
            </w:r>
            <w:r w:rsidR="007B727E">
              <w:rPr>
                <w:sz w:val="24"/>
                <w:lang w:val="en-US"/>
              </w:rPr>
              <w:t>n</w:t>
            </w:r>
            <w:r w:rsidRPr="00842678">
              <w:rPr>
                <w:sz w:val="24"/>
                <w:lang w:val="vi-VN"/>
              </w:rPr>
              <w:t>.</w:t>
            </w:r>
          </w:p>
          <w:p w:rsidR="007B6505" w:rsidRDefault="007B6505" w:rsidP="007B6505">
            <w:pPr>
              <w:rPr>
                <w:sz w:val="24"/>
                <w:lang w:val="vi-VN"/>
              </w:rPr>
            </w:pPr>
            <w:r w:rsidRPr="00842678">
              <w:rPr>
                <w:sz w:val="24"/>
                <w:lang w:val="vi-VN"/>
              </w:rPr>
              <w:t>- Về thời gian thuê tư vấn thực hiện theo luật đấu thầu; đơn vị được tư vấn là các đơn vị thẩm định giá được Bộ Tài chính cấp phép hoạt động.</w:t>
            </w:r>
          </w:p>
        </w:tc>
      </w:tr>
      <w:tr w:rsidR="008A5050" w:rsidRPr="000A094E" w:rsidTr="001A3FED">
        <w:trPr>
          <w:trHeight w:val="319"/>
        </w:trPr>
        <w:tc>
          <w:tcPr>
            <w:tcW w:w="674" w:type="dxa"/>
            <w:vAlign w:val="center"/>
          </w:tcPr>
          <w:p w:rsidR="008A5050" w:rsidRPr="00AB2156" w:rsidRDefault="00AB2156" w:rsidP="009A67C1">
            <w:pPr>
              <w:jc w:val="center"/>
              <w:rPr>
                <w:b/>
                <w:sz w:val="24"/>
                <w:lang w:val="en-US"/>
              </w:rPr>
            </w:pPr>
            <w:r>
              <w:rPr>
                <w:b/>
                <w:sz w:val="24"/>
                <w:lang w:val="en-US"/>
              </w:rPr>
              <w:lastRenderedPageBreak/>
              <w:t>6</w:t>
            </w:r>
          </w:p>
        </w:tc>
        <w:tc>
          <w:tcPr>
            <w:tcW w:w="1561" w:type="dxa"/>
            <w:vAlign w:val="center"/>
          </w:tcPr>
          <w:p w:rsidR="008A5050" w:rsidRPr="008A5050" w:rsidRDefault="008A5050" w:rsidP="009A67C1">
            <w:pPr>
              <w:jc w:val="center"/>
              <w:rPr>
                <w:b/>
                <w:sz w:val="24"/>
                <w:lang w:val="vi-VN"/>
              </w:rPr>
            </w:pPr>
            <w:r w:rsidRPr="008A5050">
              <w:rPr>
                <w:b/>
                <w:sz w:val="24"/>
                <w:lang w:val="vi-VN"/>
              </w:rPr>
              <w:t>Thu tiền sử dụng băng tần</w:t>
            </w:r>
          </w:p>
        </w:tc>
        <w:tc>
          <w:tcPr>
            <w:tcW w:w="4706" w:type="dxa"/>
          </w:tcPr>
          <w:p w:rsidR="008A5050" w:rsidRDefault="008A5050" w:rsidP="009A67C1">
            <w:pPr>
              <w:rPr>
                <w:bCs/>
                <w:sz w:val="24"/>
                <w:lang w:val="vi-VN"/>
              </w:rPr>
            </w:pPr>
            <w:r w:rsidRPr="008A5050">
              <w:rPr>
                <w:b/>
                <w:bCs/>
                <w:sz w:val="24"/>
                <w:lang w:val="vi-VN"/>
              </w:rPr>
              <w:t xml:space="preserve">- VNPT, Mobi, Viettel, Vietnamobile: </w:t>
            </w:r>
            <w:r w:rsidRPr="008A5050">
              <w:rPr>
                <w:bCs/>
                <w:i/>
                <w:sz w:val="24"/>
                <w:lang w:val="vi-VN"/>
              </w:rPr>
              <w:t>đề xuất nộp tiền trúng đấu giá theo từng đợt</w:t>
            </w:r>
            <w:r w:rsidRPr="008A5050">
              <w:rPr>
                <w:bCs/>
                <w:sz w:val="24"/>
                <w:lang w:val="vi-VN"/>
              </w:rPr>
              <w:t>.</w:t>
            </w: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Default="00C10D25" w:rsidP="009A67C1">
            <w:pPr>
              <w:rPr>
                <w:bCs/>
                <w:sz w:val="24"/>
                <w:lang w:val="vi-VN"/>
              </w:rPr>
            </w:pPr>
          </w:p>
          <w:p w:rsidR="00C10D25" w:rsidRPr="0059503E" w:rsidRDefault="00C10D25" w:rsidP="009A67C1">
            <w:pPr>
              <w:rPr>
                <w:bCs/>
                <w:i/>
                <w:sz w:val="24"/>
                <w:lang w:val="vi-VN"/>
              </w:rPr>
            </w:pPr>
            <w:r w:rsidRPr="008A5050">
              <w:rPr>
                <w:b/>
                <w:bCs/>
                <w:sz w:val="24"/>
                <w:lang w:val="vi-VN"/>
              </w:rPr>
              <w:t xml:space="preserve">- Viettel: </w:t>
            </w:r>
            <w:r w:rsidRPr="008A5050">
              <w:rPr>
                <w:bCs/>
                <w:i/>
                <w:sz w:val="24"/>
                <w:lang w:val="vi-VN"/>
              </w:rPr>
              <w:t>đề nghị điều chỉnh thời gian nộp tiền từ 90 ngày lên 180 ngày</w:t>
            </w:r>
          </w:p>
        </w:tc>
        <w:tc>
          <w:tcPr>
            <w:tcW w:w="7563" w:type="dxa"/>
          </w:tcPr>
          <w:p w:rsidR="00C10D25" w:rsidRPr="00C10D25" w:rsidRDefault="00C10D25" w:rsidP="00C10D25">
            <w:pPr>
              <w:rPr>
                <w:sz w:val="24"/>
                <w:lang w:val="vi-VN"/>
              </w:rPr>
            </w:pPr>
            <w:r>
              <w:rPr>
                <w:sz w:val="24"/>
                <w:lang w:val="en-US"/>
              </w:rPr>
              <w:t xml:space="preserve">- </w:t>
            </w:r>
            <w:r w:rsidRPr="00C10D25">
              <w:rPr>
                <w:sz w:val="24"/>
                <w:lang w:val="vi-VN"/>
              </w:rPr>
              <w:t>Sửa dự thảo theo hướng chỉ thu một lần, (không chia làm 3 lần thu) và không hoàn trả khi doanh nghiệp trả lại giấy phép vì:</w:t>
            </w:r>
          </w:p>
          <w:p w:rsidR="004D7E7A" w:rsidRPr="006E433C" w:rsidRDefault="00CA775E" w:rsidP="004D7E7A">
            <w:pPr>
              <w:rPr>
                <w:sz w:val="24"/>
                <w:lang w:val="vi-VN"/>
              </w:rPr>
            </w:pPr>
            <w:r w:rsidRPr="006E433C">
              <w:rPr>
                <w:sz w:val="24"/>
                <w:lang w:val="vi-VN"/>
              </w:rPr>
              <w:t>+)</w:t>
            </w:r>
            <w:r w:rsidR="00C10D25" w:rsidRPr="00C10D25">
              <w:rPr>
                <w:sz w:val="24"/>
                <w:lang w:val="vi-VN"/>
              </w:rPr>
              <w:t xml:space="preserve"> </w:t>
            </w:r>
            <w:r w:rsidR="004D7E7A" w:rsidRPr="006E433C">
              <w:rPr>
                <w:sz w:val="24"/>
                <w:lang w:val="vi-VN"/>
              </w:rPr>
              <w:t>Đấu giá tần số nhằm mục đích lựa chọn được doanh nghiệp có năng lực tài chính, kỹ thuật, để triển khai cung cấp dịch vụ viễn thông tốt nhất, khi được cấp tần số, không nhằm mục tiêu đầu cơ, bán lại. Vì vậy, quy định doanh nghiệp trả một lần tiền sử dụng tần số VTĐ (up front) trước khi cấp phép cũng là để khẳng định doanh nghiệp “tốt nhất” đã được lựa chọn. Quy định này cũng thường được các nước lựa chọn khi đấu giá tần số (Úc, Singapore, Anh, Mỹ, Canada,..).</w:t>
            </w:r>
          </w:p>
          <w:p w:rsidR="004D7E7A" w:rsidRPr="006E433C" w:rsidRDefault="004D7E7A" w:rsidP="004D7E7A">
            <w:pPr>
              <w:rPr>
                <w:sz w:val="24"/>
                <w:lang w:val="vi-VN"/>
              </w:rPr>
            </w:pPr>
            <w:r>
              <w:rPr>
                <w:sz w:val="24"/>
                <w:lang w:val="en-US"/>
              </w:rPr>
              <w:t>+)</w:t>
            </w:r>
            <w:r w:rsidRPr="006E433C">
              <w:rPr>
                <w:sz w:val="24"/>
                <w:lang w:val="vi-VN"/>
              </w:rPr>
              <w:t xml:space="preserve"> Dự thảo không quy định hoàn trả tiền sử dụng tần số VTĐ đã nộp khi doanh nghiệp trả lại giấy phép vì Luật Tần số VTĐ và Luật Quản lý sử dụng tài sản công không giao Chính phủ quy định hoàn trả (chỉ giao quy định mức thu, phương thức thu”. Mặt khác, Nghị định có quy định về chuyển nhượng quyền sử dụng tần số trúng đấu giá, do vậy doanh nghiệp khi không còn nhu cầu sử dụng có thể chuyển nhượng cho doanh nghiệp khác.</w:t>
            </w:r>
          </w:p>
          <w:p w:rsidR="004D7E7A" w:rsidRPr="006E433C" w:rsidRDefault="004D7E7A" w:rsidP="004D7E7A">
            <w:pPr>
              <w:rPr>
                <w:sz w:val="24"/>
                <w:lang w:val="vi-VN"/>
              </w:rPr>
            </w:pPr>
            <w:r>
              <w:rPr>
                <w:sz w:val="24"/>
                <w:lang w:val="vi-VN"/>
              </w:rPr>
              <w:t>+)</w:t>
            </w:r>
            <w:r w:rsidRPr="006E433C">
              <w:rPr>
                <w:sz w:val="24"/>
                <w:lang w:val="vi-VN"/>
              </w:rPr>
              <w:t xml:space="preserve"> Mặt khác, nếu chia thành nhiều đợt trả, đồng thời cho phép doanh nghiệp trả lại tần số và được nhà nước hoàn tiền thì có thể xảy ra trường hợp doanh nghiệp không có năng lực trúng đấu giá, sau đó không triển khai, trả lại giấy phép và được hoàn tiền. Việc này không chỉ ảnh hưởng trực tiếp đến người sử dụng dịch vụ của doanh nghiệp đó mà còn ảnh hưởng đến cơ hội, thời cơ của các doanh nghiệp khác không có được tần số do đã bị doanh nghiệp này chiếm giữ trước đó.</w:t>
            </w:r>
          </w:p>
          <w:p w:rsidR="00C10D25" w:rsidRDefault="00C10D25" w:rsidP="00C10D25">
            <w:pPr>
              <w:rPr>
                <w:sz w:val="24"/>
                <w:lang w:val="vi-VN"/>
              </w:rPr>
            </w:pPr>
          </w:p>
          <w:p w:rsidR="008A5050" w:rsidRPr="008A5050" w:rsidRDefault="00C10D25">
            <w:pPr>
              <w:rPr>
                <w:sz w:val="24"/>
                <w:lang w:val="vi-VN"/>
              </w:rPr>
            </w:pPr>
            <w:r>
              <w:rPr>
                <w:sz w:val="24"/>
                <w:lang w:val="en-US"/>
              </w:rPr>
              <w:t xml:space="preserve">- </w:t>
            </w:r>
            <w:r w:rsidRPr="008A5050">
              <w:rPr>
                <w:sz w:val="24"/>
                <w:lang w:val="vi-VN"/>
              </w:rPr>
              <w:t>Dự thảo</w:t>
            </w:r>
            <w:r>
              <w:rPr>
                <w:sz w:val="24"/>
                <w:lang w:val="en-US"/>
              </w:rPr>
              <w:t xml:space="preserve"> quy định thời gian nộp tiền là </w:t>
            </w:r>
            <w:r w:rsidR="00E87FB6" w:rsidRPr="00E87FB6">
              <w:rPr>
                <w:sz w:val="24"/>
                <w:lang w:val="en-US"/>
              </w:rPr>
              <w:t>0</w:t>
            </w:r>
            <w:r w:rsidR="00AD3D3A">
              <w:rPr>
                <w:sz w:val="24"/>
                <w:lang w:val="en-US"/>
              </w:rPr>
              <w:t>4</w:t>
            </w:r>
            <w:r w:rsidR="00E87FB6" w:rsidRPr="00E87FB6">
              <w:rPr>
                <w:sz w:val="24"/>
                <w:lang w:val="en-US"/>
              </w:rPr>
              <w:t xml:space="preserve"> tháng</w:t>
            </w:r>
            <w:r w:rsidR="00AD3D3A">
              <w:rPr>
                <w:sz w:val="24"/>
                <w:lang w:val="en-US"/>
              </w:rPr>
              <w:t xml:space="preserve"> kể từ ngày Bộ Thông tin và Truyền thông thông báo cho doanh nghiệp</w:t>
            </w:r>
            <w:r w:rsidR="00E87FB6" w:rsidRPr="00E87FB6">
              <w:rPr>
                <w:sz w:val="24"/>
                <w:lang w:val="en-US"/>
              </w:rPr>
              <w:t xml:space="preserve"> đối với trường hợp</w:t>
            </w:r>
            <w:r w:rsidR="00AD3D3A">
              <w:rPr>
                <w:sz w:val="24"/>
                <w:lang w:val="en-US"/>
              </w:rPr>
              <w:t xml:space="preserve"> sau khi phê duyệt kết quả</w:t>
            </w:r>
            <w:r w:rsidR="00E87FB6" w:rsidRPr="00E87FB6">
              <w:rPr>
                <w:sz w:val="24"/>
                <w:lang w:val="en-US"/>
              </w:rPr>
              <w:t xml:space="preserve"> đấu giá</w:t>
            </w:r>
            <w:r w:rsidR="00AD3D3A">
              <w:rPr>
                <w:sz w:val="24"/>
                <w:lang w:val="en-US"/>
              </w:rPr>
              <w:t xml:space="preserve"> hoặc</w:t>
            </w:r>
            <w:r w:rsidR="00E87FB6" w:rsidRPr="00E87FB6">
              <w:rPr>
                <w:sz w:val="24"/>
                <w:lang w:val="en-US"/>
              </w:rPr>
              <w:t xml:space="preserve"> trường hợp gia hạn hoặc cấp mới khi giấy phép đã cấp hết hạn sử dụng</w:t>
            </w:r>
            <w:r w:rsidR="00E87FB6">
              <w:rPr>
                <w:sz w:val="24"/>
                <w:lang w:val="en-US"/>
              </w:rPr>
              <w:t xml:space="preserve"> </w:t>
            </w:r>
            <w:r w:rsidR="00AD3D3A">
              <w:rPr>
                <w:sz w:val="24"/>
                <w:lang w:val="en-US"/>
              </w:rPr>
              <w:t>(</w:t>
            </w:r>
            <w:r>
              <w:rPr>
                <w:sz w:val="24"/>
                <w:lang w:val="en-US"/>
              </w:rPr>
              <w:t xml:space="preserve">khoảng thời gian từ khi Bộ Thông tin và Truyền thông công bố thông tin </w:t>
            </w:r>
            <w:r w:rsidR="00E87FB6">
              <w:rPr>
                <w:sz w:val="24"/>
                <w:lang w:val="en-US"/>
              </w:rPr>
              <w:t xml:space="preserve">ít nhất trước </w:t>
            </w:r>
            <w:r w:rsidR="00AD3D3A">
              <w:rPr>
                <w:sz w:val="24"/>
                <w:lang w:val="en-US"/>
              </w:rPr>
              <w:t>06</w:t>
            </w:r>
            <w:r w:rsidR="00E87FB6">
              <w:rPr>
                <w:sz w:val="24"/>
                <w:lang w:val="en-US"/>
              </w:rPr>
              <w:t xml:space="preserve"> tháng </w:t>
            </w:r>
            <w:r>
              <w:rPr>
                <w:sz w:val="24"/>
                <w:lang w:val="en-US"/>
              </w:rPr>
              <w:t>là đủ dài cho doanh nghiệp chuẩn bị</w:t>
            </w:r>
            <w:r w:rsidR="00AD3D3A">
              <w:rPr>
                <w:sz w:val="24"/>
                <w:lang w:val="en-US"/>
              </w:rPr>
              <w:t>)</w:t>
            </w:r>
            <w:r>
              <w:rPr>
                <w:sz w:val="24"/>
                <w:lang w:val="en-US"/>
              </w:rPr>
              <w:t>.</w:t>
            </w:r>
          </w:p>
        </w:tc>
      </w:tr>
      <w:tr w:rsidR="008A5050" w:rsidRPr="000A094E" w:rsidTr="001A3FED">
        <w:trPr>
          <w:trHeight w:val="1068"/>
        </w:trPr>
        <w:tc>
          <w:tcPr>
            <w:tcW w:w="674" w:type="dxa"/>
            <w:vAlign w:val="center"/>
          </w:tcPr>
          <w:p w:rsidR="008A5050" w:rsidRPr="00AB2156" w:rsidRDefault="00AB2156" w:rsidP="009A67C1">
            <w:pPr>
              <w:jc w:val="center"/>
              <w:rPr>
                <w:b/>
                <w:sz w:val="24"/>
                <w:lang w:val="en-US"/>
              </w:rPr>
            </w:pPr>
            <w:r>
              <w:rPr>
                <w:b/>
                <w:sz w:val="24"/>
                <w:lang w:val="en-US"/>
              </w:rPr>
              <w:lastRenderedPageBreak/>
              <w:t>7</w:t>
            </w:r>
          </w:p>
        </w:tc>
        <w:tc>
          <w:tcPr>
            <w:tcW w:w="1561" w:type="dxa"/>
            <w:vAlign w:val="center"/>
          </w:tcPr>
          <w:p w:rsidR="008A5050" w:rsidRPr="001C6C62" w:rsidRDefault="008A5050" w:rsidP="009A67C1">
            <w:pPr>
              <w:jc w:val="center"/>
              <w:rPr>
                <w:b/>
                <w:sz w:val="24"/>
                <w:lang w:val="vi-VN"/>
              </w:rPr>
            </w:pPr>
            <w:r w:rsidRPr="008A5050">
              <w:rPr>
                <w:b/>
                <w:sz w:val="24"/>
                <w:lang w:val="vi-VN"/>
              </w:rPr>
              <w:t>Băng tần được đấu giá</w:t>
            </w:r>
          </w:p>
        </w:tc>
        <w:tc>
          <w:tcPr>
            <w:tcW w:w="4706" w:type="dxa"/>
          </w:tcPr>
          <w:p w:rsidR="008A5050" w:rsidRPr="001C6C62" w:rsidRDefault="008A5050" w:rsidP="009A67C1">
            <w:pPr>
              <w:rPr>
                <w:sz w:val="24"/>
                <w:lang w:val="vi-VN"/>
              </w:rPr>
            </w:pPr>
            <w:r w:rsidRPr="001C6C62">
              <w:rPr>
                <w:b/>
                <w:sz w:val="24"/>
                <w:lang w:val="vi-VN"/>
              </w:rPr>
              <w:t>Viettel:</w:t>
            </w:r>
            <w:bookmarkStart w:id="3" w:name="OLE_LINK35"/>
            <w:bookmarkStart w:id="4" w:name="OLE_LINK36"/>
            <w:r w:rsidRPr="001C6C62">
              <w:rPr>
                <w:b/>
                <w:sz w:val="24"/>
                <w:lang w:val="vi-VN"/>
              </w:rPr>
              <w:t xml:space="preserve"> </w:t>
            </w:r>
            <w:r w:rsidRPr="001C6C62">
              <w:rPr>
                <w:i/>
                <w:sz w:val="24"/>
                <w:lang w:val="vi-VN"/>
              </w:rPr>
              <w:t>Nghị định này chỉ liên quan đến quản lý băng tần, đề nghị bỏ các nội dung có liên quan đến “Kênh tần số”</w:t>
            </w:r>
            <w:r w:rsidRPr="001C6C62">
              <w:rPr>
                <w:sz w:val="24"/>
                <w:lang w:val="vi-VN"/>
              </w:rPr>
              <w:t>.</w:t>
            </w:r>
            <w:bookmarkEnd w:id="3"/>
            <w:bookmarkEnd w:id="4"/>
          </w:p>
        </w:tc>
        <w:tc>
          <w:tcPr>
            <w:tcW w:w="7563" w:type="dxa"/>
          </w:tcPr>
          <w:p w:rsidR="008A5050" w:rsidRPr="00AC345B" w:rsidRDefault="007B727E" w:rsidP="00E87FB6">
            <w:pPr>
              <w:rPr>
                <w:sz w:val="24"/>
                <w:lang w:val="en-US"/>
              </w:rPr>
            </w:pPr>
            <w:r>
              <w:rPr>
                <w:sz w:val="24"/>
                <w:lang w:val="en-US"/>
              </w:rPr>
              <w:t>Tiếp thu</w:t>
            </w:r>
          </w:p>
        </w:tc>
      </w:tr>
      <w:tr w:rsidR="005F497E" w:rsidRPr="000A094E" w:rsidTr="001A3FED">
        <w:trPr>
          <w:trHeight w:val="894"/>
        </w:trPr>
        <w:tc>
          <w:tcPr>
            <w:tcW w:w="674" w:type="dxa"/>
            <w:vMerge w:val="restart"/>
            <w:vAlign w:val="center"/>
          </w:tcPr>
          <w:p w:rsidR="005F497E" w:rsidRPr="00AB2156" w:rsidRDefault="00AB2156" w:rsidP="008A2475">
            <w:pPr>
              <w:jc w:val="center"/>
              <w:rPr>
                <w:b/>
                <w:sz w:val="24"/>
                <w:lang w:val="en-US"/>
              </w:rPr>
            </w:pPr>
            <w:r>
              <w:rPr>
                <w:b/>
                <w:sz w:val="24"/>
                <w:lang w:val="en-US"/>
              </w:rPr>
              <w:t>8</w:t>
            </w:r>
          </w:p>
        </w:tc>
        <w:tc>
          <w:tcPr>
            <w:tcW w:w="1561" w:type="dxa"/>
            <w:vMerge w:val="restart"/>
            <w:vAlign w:val="center"/>
          </w:tcPr>
          <w:p w:rsidR="005F497E" w:rsidRPr="001C6C62" w:rsidRDefault="005F497E">
            <w:pPr>
              <w:jc w:val="center"/>
              <w:rPr>
                <w:b/>
                <w:sz w:val="24"/>
                <w:lang w:val="vi-VN"/>
              </w:rPr>
            </w:pPr>
            <w:r w:rsidRPr="001C6C62">
              <w:rPr>
                <w:b/>
                <w:sz w:val="24"/>
                <w:lang w:val="vi-VN"/>
              </w:rPr>
              <w:t xml:space="preserve">Giá khởi điểm </w:t>
            </w:r>
          </w:p>
        </w:tc>
        <w:tc>
          <w:tcPr>
            <w:tcW w:w="4706" w:type="dxa"/>
          </w:tcPr>
          <w:p w:rsidR="005F497E" w:rsidRPr="001C6C62" w:rsidRDefault="005F497E" w:rsidP="006C44CB">
            <w:pPr>
              <w:rPr>
                <w:bCs/>
                <w:i/>
                <w:sz w:val="24"/>
                <w:lang w:val="vi-VN"/>
              </w:rPr>
            </w:pPr>
            <w:r w:rsidRPr="001C6C62">
              <w:rPr>
                <w:b/>
                <w:bCs/>
                <w:sz w:val="24"/>
                <w:lang w:val="vi-VN"/>
              </w:rPr>
              <w:t xml:space="preserve">Viettel: </w:t>
            </w:r>
            <w:r w:rsidRPr="001C6C62">
              <w:rPr>
                <w:bCs/>
                <w:i/>
                <w:sz w:val="24"/>
                <w:lang w:val="vi-VN"/>
              </w:rPr>
              <w:t>chuyển thời gian từ công bố giá khởi điểm tới niêm yết cuộc đấu giá từ 60 ngày làm việc thành 90 ngày làm việc</w:t>
            </w:r>
          </w:p>
          <w:p w:rsidR="005F497E" w:rsidRPr="001C6C62" w:rsidRDefault="005F497E" w:rsidP="006C44CB">
            <w:pPr>
              <w:rPr>
                <w:sz w:val="24"/>
                <w:lang w:val="vi-VN"/>
              </w:rPr>
            </w:pPr>
            <w:r w:rsidRPr="001C6C62">
              <w:rPr>
                <w:bCs/>
                <w:sz w:val="24"/>
                <w:lang w:val="vi-VN"/>
              </w:rPr>
              <w:t>Lý do:</w:t>
            </w:r>
            <w:r w:rsidRPr="001C6C62">
              <w:rPr>
                <w:bCs/>
                <w:i/>
                <w:sz w:val="24"/>
                <w:lang w:val="vi-VN"/>
              </w:rPr>
              <w:t xml:space="preserve"> </w:t>
            </w:r>
            <w:r w:rsidRPr="001C6C62">
              <w:rPr>
                <w:sz w:val="24"/>
                <w:lang w:val="vi-VN"/>
              </w:rPr>
              <w:t>Theo Khoản 1 Điều 12 “Doanh nghiệp có nhu cầu tham gia đấu giá nộp Hồ sơ đề nghị xét duyệt đủ điều kiện tham gia đấu giá tới cơ quan quản lý chuyên ngành về viễn thông muộn nhất 35 ngày làm việc trước ngày niêm yết đấu giá”. Như vậy là DN sẽ chỉ có 25 ngày chuẩn bị hồ sơ, thời gian ngắn sẽ gây khó khăn cho DN. Đề xuất tăng thời gian công bố điều kiện và giá khởi điểm lên 90 ngày đề DN có thời gian chuẩn bị hồ sơ. Ngoài ra nội dung này còn có khó khăn khi DNNN chưa đủ thời gian lập và phê duyệt Dự án đầu tư.</w:t>
            </w:r>
          </w:p>
        </w:tc>
        <w:tc>
          <w:tcPr>
            <w:tcW w:w="7563" w:type="dxa"/>
          </w:tcPr>
          <w:p w:rsidR="005F497E" w:rsidRPr="001C6C62" w:rsidRDefault="005F497E" w:rsidP="006C44CB">
            <w:pPr>
              <w:rPr>
                <w:sz w:val="24"/>
                <w:lang w:val="vi-VN"/>
              </w:rPr>
            </w:pPr>
            <w:r w:rsidRPr="001C6C62">
              <w:rPr>
                <w:sz w:val="24"/>
                <w:lang w:val="vi-VN"/>
              </w:rPr>
              <w:t xml:space="preserve"> </w:t>
            </w:r>
          </w:p>
          <w:p w:rsidR="005F497E" w:rsidRPr="001C6C62" w:rsidRDefault="005F497E" w:rsidP="006C44CB">
            <w:pPr>
              <w:rPr>
                <w:sz w:val="24"/>
                <w:lang w:val="vi-VN"/>
              </w:rPr>
            </w:pPr>
            <w:r w:rsidRPr="001C6C62">
              <w:rPr>
                <w:sz w:val="24"/>
                <w:lang w:val="en-US"/>
              </w:rPr>
              <w:t>Tiếp thu</w:t>
            </w:r>
            <w:r w:rsidR="004A5782" w:rsidRPr="001C6C62">
              <w:rPr>
                <w:sz w:val="24"/>
                <w:lang w:val="en-US"/>
              </w:rPr>
              <w:t xml:space="preserve">, sửa thành trong thời gian </w:t>
            </w:r>
            <w:r w:rsidR="00E87FB6">
              <w:rPr>
                <w:sz w:val="24"/>
                <w:lang w:val="en-US"/>
              </w:rPr>
              <w:t>80 ngày</w:t>
            </w:r>
          </w:p>
        </w:tc>
      </w:tr>
      <w:tr w:rsidR="005F497E" w:rsidRPr="000A094E" w:rsidTr="001A3FED">
        <w:trPr>
          <w:trHeight w:val="79"/>
        </w:trPr>
        <w:tc>
          <w:tcPr>
            <w:tcW w:w="674" w:type="dxa"/>
            <w:vMerge/>
            <w:vAlign w:val="center"/>
          </w:tcPr>
          <w:p w:rsidR="005F497E" w:rsidRPr="001C6C62" w:rsidRDefault="005F497E" w:rsidP="008A2475">
            <w:pPr>
              <w:jc w:val="center"/>
              <w:rPr>
                <w:b/>
                <w:sz w:val="24"/>
                <w:lang w:val="en-US"/>
              </w:rPr>
            </w:pPr>
          </w:p>
        </w:tc>
        <w:tc>
          <w:tcPr>
            <w:tcW w:w="1561" w:type="dxa"/>
            <w:vMerge/>
            <w:vAlign w:val="center"/>
          </w:tcPr>
          <w:p w:rsidR="005F497E" w:rsidRPr="001C6C62" w:rsidRDefault="005F497E" w:rsidP="008A2475">
            <w:pPr>
              <w:jc w:val="center"/>
              <w:rPr>
                <w:b/>
                <w:sz w:val="24"/>
                <w:lang w:val="en-US"/>
              </w:rPr>
            </w:pPr>
          </w:p>
        </w:tc>
        <w:tc>
          <w:tcPr>
            <w:tcW w:w="4706" w:type="dxa"/>
          </w:tcPr>
          <w:p w:rsidR="005F497E" w:rsidRPr="001C6C62" w:rsidRDefault="005F497E" w:rsidP="007A1C8F">
            <w:pPr>
              <w:tabs>
                <w:tab w:val="left" w:pos="1605"/>
              </w:tabs>
              <w:rPr>
                <w:b/>
                <w:sz w:val="24"/>
                <w:lang w:val="en-US"/>
              </w:rPr>
            </w:pPr>
            <w:r w:rsidRPr="001C6C62">
              <w:rPr>
                <w:b/>
                <w:sz w:val="24"/>
                <w:lang w:val="en-US"/>
              </w:rPr>
              <w:t xml:space="preserve">Viettel: </w:t>
            </w:r>
            <w:r w:rsidRPr="001C6C62">
              <w:rPr>
                <w:sz w:val="24"/>
                <w:lang w:val="en-US"/>
              </w:rPr>
              <w:t>Thay cụm từ “trên cơ sở không thấp hơn” bằng từ “bằng”.</w:t>
            </w:r>
          </w:p>
        </w:tc>
        <w:tc>
          <w:tcPr>
            <w:tcW w:w="7563" w:type="dxa"/>
          </w:tcPr>
          <w:p w:rsidR="005F497E" w:rsidRPr="00A476A3" w:rsidRDefault="00A476A3">
            <w:pPr>
              <w:rPr>
                <w:sz w:val="24"/>
                <w:lang w:val="en-US"/>
              </w:rPr>
            </w:pPr>
            <w:r>
              <w:rPr>
                <w:sz w:val="24"/>
                <w:lang w:val="en-US"/>
              </w:rPr>
              <w:t>Tiếp thu</w:t>
            </w:r>
          </w:p>
        </w:tc>
      </w:tr>
      <w:tr w:rsidR="00B2164E" w:rsidRPr="000A094E" w:rsidTr="001A3FED">
        <w:trPr>
          <w:trHeight w:val="1781"/>
        </w:trPr>
        <w:tc>
          <w:tcPr>
            <w:tcW w:w="674" w:type="dxa"/>
            <w:vMerge w:val="restart"/>
            <w:vAlign w:val="center"/>
          </w:tcPr>
          <w:p w:rsidR="00B2164E" w:rsidRPr="001C6C62" w:rsidRDefault="00B2164E" w:rsidP="006C44CB">
            <w:pPr>
              <w:jc w:val="center"/>
              <w:rPr>
                <w:b/>
                <w:sz w:val="24"/>
                <w:lang w:val="vi-VN"/>
              </w:rPr>
            </w:pPr>
            <w:r>
              <w:rPr>
                <w:b/>
                <w:sz w:val="24"/>
                <w:lang w:val="vi-VN"/>
              </w:rPr>
              <w:lastRenderedPageBreak/>
              <w:t>9</w:t>
            </w:r>
          </w:p>
        </w:tc>
        <w:tc>
          <w:tcPr>
            <w:tcW w:w="1561" w:type="dxa"/>
            <w:vMerge w:val="restart"/>
            <w:vAlign w:val="center"/>
          </w:tcPr>
          <w:p w:rsidR="00B2164E" w:rsidRPr="001C6C62" w:rsidRDefault="00B2164E" w:rsidP="00B2164E">
            <w:pPr>
              <w:ind w:firstLine="35"/>
              <w:jc w:val="center"/>
              <w:rPr>
                <w:b/>
                <w:sz w:val="24"/>
                <w:lang w:val="en-US"/>
              </w:rPr>
            </w:pPr>
            <w:r>
              <w:rPr>
                <w:b/>
                <w:sz w:val="24"/>
                <w:lang w:val="en-US"/>
              </w:rPr>
              <w:t>Điều kiện</w:t>
            </w:r>
            <w:r w:rsidRPr="001C6C62">
              <w:rPr>
                <w:b/>
                <w:sz w:val="24"/>
                <w:lang w:val="en-US"/>
              </w:rPr>
              <w:t xml:space="preserve"> tham gia đấu giá</w:t>
            </w:r>
          </w:p>
        </w:tc>
        <w:tc>
          <w:tcPr>
            <w:tcW w:w="4706" w:type="dxa"/>
          </w:tcPr>
          <w:p w:rsidR="00B2164E" w:rsidRPr="001C6C62" w:rsidRDefault="00B2164E" w:rsidP="006C44CB">
            <w:pPr>
              <w:rPr>
                <w:sz w:val="24"/>
                <w:lang w:val="en-US"/>
              </w:rPr>
            </w:pPr>
            <w:r w:rsidRPr="001C6C62">
              <w:rPr>
                <w:b/>
                <w:bCs/>
                <w:sz w:val="24"/>
                <w:lang w:val="en-US"/>
              </w:rPr>
              <w:t xml:space="preserve">Viettel: </w:t>
            </w:r>
            <w:r w:rsidRPr="001C6C62">
              <w:rPr>
                <w:bCs/>
                <w:i/>
                <w:sz w:val="24"/>
                <w:lang w:val="en-US"/>
              </w:rPr>
              <w:t>đề xuất bổ sung doanh nghiệp đã có giấy phép thiết lập mạng viễn thông di động mặt đất</w:t>
            </w:r>
          </w:p>
          <w:p w:rsidR="00B2164E" w:rsidRPr="001C6C62" w:rsidRDefault="00B2164E" w:rsidP="006C44CB">
            <w:pPr>
              <w:rPr>
                <w:sz w:val="24"/>
                <w:lang w:val="en-US"/>
              </w:rPr>
            </w:pPr>
            <w:r w:rsidRPr="001C6C62">
              <w:rPr>
                <w:b/>
                <w:bCs/>
                <w:sz w:val="24"/>
                <w:lang w:val="en-US"/>
              </w:rPr>
              <w:t xml:space="preserve">MobiFone </w:t>
            </w:r>
            <w:r w:rsidRPr="001C6C62">
              <w:rPr>
                <w:sz w:val="24"/>
                <w:lang w:val="en-US"/>
              </w:rPr>
              <w:t>đề xuất điều kiện để được tham gia đấu giá băng tần là các các doanh nghiệp cung cấp dịch vụ viễn thông có hạ tầng mạng theo quy định của pháp luật về viễn thông để đảm bảo khả năng bình ổn thị trường viễn thông</w:t>
            </w:r>
          </w:p>
        </w:tc>
        <w:tc>
          <w:tcPr>
            <w:tcW w:w="7563" w:type="dxa"/>
          </w:tcPr>
          <w:p w:rsidR="00B2164E" w:rsidRPr="001C6C62" w:rsidRDefault="00B2164E" w:rsidP="00842657">
            <w:pPr>
              <w:rPr>
                <w:sz w:val="24"/>
                <w:lang w:val="en-US"/>
              </w:rPr>
            </w:pPr>
            <w:r w:rsidRPr="001C6C62">
              <w:rPr>
                <w:sz w:val="24"/>
                <w:lang w:val="en-US"/>
              </w:rPr>
              <w:t>Đề xuất giữ nguyên nội dung trong dự thảo</w:t>
            </w:r>
            <w:r>
              <w:rPr>
                <w:sz w:val="24"/>
                <w:lang w:val="en-US"/>
              </w:rPr>
              <w:t xml:space="preserve"> vì đã căn cứ vào Luật Tần số VTĐ để quy định:</w:t>
            </w:r>
          </w:p>
          <w:p w:rsidR="00B2164E" w:rsidRPr="001C6C62" w:rsidRDefault="00B2164E" w:rsidP="00EA6611">
            <w:pPr>
              <w:rPr>
                <w:sz w:val="24"/>
                <w:lang w:val="en-US"/>
              </w:rPr>
            </w:pPr>
            <w:r w:rsidRPr="001C6C62">
              <w:rPr>
                <w:sz w:val="24"/>
                <w:lang w:val="en-US"/>
              </w:rPr>
              <w:t>Đối tượng tham gia đấu giá tại điểm b, khoản 3, Điều 18 của Luật tần số vô tuyến điện 42/2009/QH12 ngày 23 tháng 11 năm 2009:</w:t>
            </w:r>
          </w:p>
          <w:p w:rsidR="00B2164E" w:rsidRPr="001C6C62" w:rsidRDefault="00B2164E" w:rsidP="00EA6611">
            <w:pPr>
              <w:rPr>
                <w:sz w:val="24"/>
                <w:lang w:val="en-US"/>
              </w:rPr>
            </w:pPr>
            <w:r w:rsidRPr="001C6C62">
              <w:rPr>
                <w:sz w:val="24"/>
                <w:lang w:val="en-US"/>
              </w:rPr>
              <w:t>b) Tổ chức tham gia đấu giá, thi tuyển quyền sử dụng băng tần, kênh tần số là tổ chức có đủ điều kiện được xem xét cấp giấy phép thiết lập mạng viễn thông theo quy định của pháp luật về viễn thông;</w:t>
            </w:r>
          </w:p>
        </w:tc>
      </w:tr>
      <w:tr w:rsidR="00B2164E" w:rsidRPr="000A094E" w:rsidTr="001A3FED">
        <w:trPr>
          <w:trHeight w:val="79"/>
        </w:trPr>
        <w:tc>
          <w:tcPr>
            <w:tcW w:w="674" w:type="dxa"/>
            <w:vMerge/>
            <w:vAlign w:val="center"/>
          </w:tcPr>
          <w:p w:rsidR="00B2164E" w:rsidRPr="001C6C62" w:rsidRDefault="00B2164E" w:rsidP="006C44CB">
            <w:pPr>
              <w:jc w:val="center"/>
              <w:rPr>
                <w:b/>
                <w:sz w:val="24"/>
                <w:lang w:val="en-US"/>
              </w:rPr>
            </w:pPr>
          </w:p>
        </w:tc>
        <w:tc>
          <w:tcPr>
            <w:tcW w:w="1561" w:type="dxa"/>
            <w:vMerge/>
            <w:vAlign w:val="center"/>
          </w:tcPr>
          <w:p w:rsidR="00B2164E" w:rsidRPr="001C6C62" w:rsidRDefault="00B2164E" w:rsidP="006C44CB">
            <w:pPr>
              <w:ind w:firstLine="35"/>
              <w:jc w:val="center"/>
              <w:rPr>
                <w:b/>
                <w:sz w:val="24"/>
                <w:lang w:val="en-US"/>
              </w:rPr>
            </w:pPr>
          </w:p>
        </w:tc>
        <w:tc>
          <w:tcPr>
            <w:tcW w:w="4706" w:type="dxa"/>
          </w:tcPr>
          <w:p w:rsidR="00B2164E" w:rsidRPr="001C6C62" w:rsidRDefault="00B2164E" w:rsidP="006C44CB">
            <w:pPr>
              <w:rPr>
                <w:sz w:val="24"/>
                <w:lang w:val="en-US"/>
              </w:rPr>
            </w:pPr>
            <w:r w:rsidRPr="001C6C62">
              <w:rPr>
                <w:b/>
                <w:bCs/>
                <w:sz w:val="24"/>
                <w:lang w:val="en-US"/>
              </w:rPr>
              <w:t xml:space="preserve">Viettel: </w:t>
            </w:r>
            <w:r w:rsidRPr="001C6C62">
              <w:rPr>
                <w:bCs/>
                <w:i/>
                <w:sz w:val="24"/>
                <w:lang w:val="en-US"/>
              </w:rPr>
              <w:t>đề xuất quy định số lượng cụ thể đối với các tiêu chí, vi dụ số lượng triển khai sau 02 năm không thấp hơn 5000 trạm, yêu cầu phủ sóng 35% dân số toàn quốc, ….</w:t>
            </w:r>
          </w:p>
        </w:tc>
        <w:tc>
          <w:tcPr>
            <w:tcW w:w="7563" w:type="dxa"/>
          </w:tcPr>
          <w:p w:rsidR="00B2164E" w:rsidRPr="001C6C62" w:rsidRDefault="00B2164E" w:rsidP="00842657">
            <w:pPr>
              <w:rPr>
                <w:sz w:val="24"/>
                <w:lang w:val="en-US"/>
              </w:rPr>
            </w:pPr>
            <w:r w:rsidRPr="001C6C62">
              <w:rPr>
                <w:sz w:val="24"/>
                <w:lang w:val="en-US"/>
              </w:rPr>
              <w:t>Đề xuất giữ nguyên nội dung trong dự thảo.</w:t>
            </w:r>
          </w:p>
          <w:p w:rsidR="00B2164E" w:rsidRPr="001C6C62" w:rsidRDefault="00B2164E" w:rsidP="00842657">
            <w:pPr>
              <w:rPr>
                <w:sz w:val="24"/>
                <w:lang w:val="en-US"/>
              </w:rPr>
            </w:pPr>
            <w:r w:rsidRPr="006F4E1B">
              <w:rPr>
                <w:sz w:val="24"/>
                <w:lang w:val="en-US"/>
              </w:rPr>
              <w:t>Điều kiện triển khai mạng viễn thông theo yêu cầu của Bộ Thông tin và Truyền thông đối với cuộc đấu giá. Trong quá trình triển khai, tùy vào tình hình phát triển của thị trường, Bộ Thông tin và Truyền thông điều chỉnh điều kiện triển khai mạng viễn thông trên cơ sở tham vấn ý kiến của các doanh nghiệp</w:t>
            </w:r>
            <w:r w:rsidRPr="001C6C62">
              <w:rPr>
                <w:sz w:val="24"/>
                <w:lang w:val="en-US"/>
              </w:rPr>
              <w:t>.</w:t>
            </w:r>
          </w:p>
        </w:tc>
      </w:tr>
      <w:tr w:rsidR="00C3227B" w:rsidRPr="000A094E" w:rsidTr="001A3FED">
        <w:trPr>
          <w:trHeight w:val="3684"/>
        </w:trPr>
        <w:tc>
          <w:tcPr>
            <w:tcW w:w="674" w:type="dxa"/>
            <w:vAlign w:val="center"/>
          </w:tcPr>
          <w:p w:rsidR="00C3227B" w:rsidRPr="00AB2156" w:rsidRDefault="00C3227B" w:rsidP="009A67C1">
            <w:pPr>
              <w:jc w:val="center"/>
              <w:rPr>
                <w:b/>
                <w:sz w:val="24"/>
                <w:lang w:val="en-US"/>
              </w:rPr>
            </w:pPr>
            <w:r w:rsidRPr="001C6C62">
              <w:rPr>
                <w:b/>
                <w:sz w:val="24"/>
                <w:lang w:val="vi-VN"/>
              </w:rPr>
              <w:t>1</w:t>
            </w:r>
            <w:r w:rsidR="00AB2156">
              <w:rPr>
                <w:b/>
                <w:sz w:val="24"/>
                <w:lang w:val="en-US"/>
              </w:rPr>
              <w:t>0</w:t>
            </w:r>
          </w:p>
        </w:tc>
        <w:tc>
          <w:tcPr>
            <w:tcW w:w="1561" w:type="dxa"/>
            <w:vAlign w:val="center"/>
          </w:tcPr>
          <w:p w:rsidR="00C3227B" w:rsidRPr="001C6C62" w:rsidRDefault="00B2164E" w:rsidP="009A67C1">
            <w:pPr>
              <w:jc w:val="center"/>
              <w:rPr>
                <w:b/>
                <w:sz w:val="24"/>
                <w:lang w:val="vi-VN"/>
              </w:rPr>
            </w:pPr>
            <w:r>
              <w:rPr>
                <w:b/>
                <w:sz w:val="24"/>
                <w:lang w:val="vi-VN"/>
              </w:rPr>
              <w:t>Phương thức đấu giá</w:t>
            </w:r>
          </w:p>
        </w:tc>
        <w:tc>
          <w:tcPr>
            <w:tcW w:w="4706" w:type="dxa"/>
          </w:tcPr>
          <w:p w:rsidR="008D1429" w:rsidRPr="008D1429" w:rsidRDefault="00C3227B" w:rsidP="009A67C1">
            <w:pPr>
              <w:tabs>
                <w:tab w:val="left" w:pos="1605"/>
              </w:tabs>
              <w:rPr>
                <w:b/>
                <w:sz w:val="24"/>
                <w:lang w:val="vi-VN"/>
              </w:rPr>
            </w:pPr>
            <w:r w:rsidRPr="008D1429">
              <w:rPr>
                <w:b/>
                <w:sz w:val="24"/>
                <w:lang w:val="vi-VN"/>
              </w:rPr>
              <w:t>Viettel:</w:t>
            </w:r>
          </w:p>
          <w:p w:rsidR="00C3227B" w:rsidRPr="008D1429" w:rsidRDefault="00C3227B" w:rsidP="009A67C1">
            <w:pPr>
              <w:tabs>
                <w:tab w:val="left" w:pos="1605"/>
              </w:tabs>
              <w:rPr>
                <w:bCs/>
                <w:sz w:val="24"/>
                <w:lang w:val="vi-VN"/>
              </w:rPr>
            </w:pPr>
            <w:r w:rsidRPr="008D1429">
              <w:rPr>
                <w:bCs/>
                <w:sz w:val="24"/>
                <w:lang w:val="vi-VN"/>
              </w:rPr>
              <w:t xml:space="preserve">- Đề xuất </w:t>
            </w:r>
            <w:r w:rsidR="008D1429" w:rsidRPr="008D1429">
              <w:rPr>
                <w:bCs/>
                <w:sz w:val="24"/>
                <w:lang w:val="vi-VN"/>
              </w:rPr>
              <w:t xml:space="preserve">sửa tiêu đề Điều 15a: </w:t>
            </w:r>
            <w:r w:rsidRPr="008D1429">
              <w:rPr>
                <w:bCs/>
                <w:sz w:val="24"/>
                <w:lang w:val="vi-VN"/>
              </w:rPr>
              <w:t>đấu giá theo khối băng tần đã được quy hoạch. Không chia thành các khối nhỏ để đấu giá.</w:t>
            </w:r>
          </w:p>
          <w:p w:rsidR="008D1429" w:rsidRPr="00C61A12" w:rsidRDefault="008D1429" w:rsidP="008D1429">
            <w:pPr>
              <w:tabs>
                <w:tab w:val="left" w:pos="1605"/>
              </w:tabs>
              <w:rPr>
                <w:bCs/>
                <w:sz w:val="24"/>
                <w:lang w:val="vi-VN"/>
              </w:rPr>
            </w:pPr>
            <w:r w:rsidRPr="008D1429">
              <w:rPr>
                <w:bCs/>
                <w:sz w:val="24"/>
                <w:lang w:val="vi-VN"/>
              </w:rPr>
              <w:t xml:space="preserve">- Đề xuất sửa khoản 4 Điều 15a: </w:t>
            </w:r>
            <w:r w:rsidRPr="008D1429">
              <w:rPr>
                <w:bCs/>
                <w:i/>
                <w:sz w:val="24"/>
                <w:lang w:val="vi-VN"/>
              </w:rPr>
              <w:t>Giá khởi điểm tại vòng một do Bộ Thông tin và Truyền thông quy định. Giá khởi điểm tại các vòng đấu giá là độc lập với nhau và được xác định bằng mức thu nhân với độ rộng băng tần mang ra đấu giá.</w:t>
            </w:r>
          </w:p>
          <w:p w:rsidR="00C3227B" w:rsidRPr="00C61A12" w:rsidRDefault="008D1429" w:rsidP="009A67C1">
            <w:pPr>
              <w:tabs>
                <w:tab w:val="left" w:pos="1605"/>
              </w:tabs>
              <w:rPr>
                <w:b/>
                <w:sz w:val="24"/>
                <w:lang w:val="vi-VN"/>
              </w:rPr>
            </w:pPr>
            <w:r w:rsidRPr="008D1429">
              <w:rPr>
                <w:bCs/>
                <w:sz w:val="24"/>
                <w:lang w:val="vi-VN"/>
              </w:rPr>
              <w:t>- Các nội dung mô tả về phương thức đấu giá chưa tường minh, rõ ràng đề nghị điều hỉnh cho rõ ràng thêm</w:t>
            </w:r>
            <w:r w:rsidR="00C375EC">
              <w:rPr>
                <w:bCs/>
                <w:sz w:val="24"/>
                <w:lang w:val="vi-VN"/>
              </w:rPr>
              <w:t>.</w:t>
            </w:r>
          </w:p>
        </w:tc>
        <w:tc>
          <w:tcPr>
            <w:tcW w:w="7563" w:type="dxa"/>
          </w:tcPr>
          <w:p w:rsidR="00C3227B" w:rsidRPr="001C6C62" w:rsidRDefault="00C3227B" w:rsidP="009A67C1">
            <w:pPr>
              <w:rPr>
                <w:sz w:val="24"/>
                <w:lang w:val="vi-VN"/>
              </w:rPr>
            </w:pPr>
            <w:r w:rsidRPr="00842678">
              <w:rPr>
                <w:sz w:val="24"/>
                <w:lang w:val="vi-VN"/>
              </w:rPr>
              <w:t>Dự thảo đã bỏ quy định về cách đấu. Nội dung này sẽ được quy định tại Quy chế cuộc đấu giá theo Luật đấu giá tài sản</w:t>
            </w:r>
          </w:p>
        </w:tc>
      </w:tr>
      <w:tr w:rsidR="0056613E" w:rsidRPr="000A094E" w:rsidTr="001A3FED">
        <w:trPr>
          <w:trHeight w:val="79"/>
        </w:trPr>
        <w:tc>
          <w:tcPr>
            <w:tcW w:w="674" w:type="dxa"/>
            <w:vMerge w:val="restart"/>
            <w:vAlign w:val="center"/>
          </w:tcPr>
          <w:p w:rsidR="0056613E" w:rsidRPr="001C6C62" w:rsidRDefault="0056613E" w:rsidP="008A2475">
            <w:pPr>
              <w:jc w:val="center"/>
              <w:rPr>
                <w:b/>
                <w:sz w:val="24"/>
                <w:lang w:val="vi-VN"/>
              </w:rPr>
            </w:pPr>
            <w:r>
              <w:rPr>
                <w:b/>
                <w:sz w:val="24"/>
                <w:lang w:val="vi-VN"/>
              </w:rPr>
              <w:t>11</w:t>
            </w:r>
          </w:p>
        </w:tc>
        <w:tc>
          <w:tcPr>
            <w:tcW w:w="1561" w:type="dxa"/>
            <w:vMerge w:val="restart"/>
            <w:vAlign w:val="center"/>
          </w:tcPr>
          <w:p w:rsidR="0056613E" w:rsidRPr="001C6C62" w:rsidRDefault="0056613E" w:rsidP="008A2475">
            <w:pPr>
              <w:jc w:val="center"/>
              <w:rPr>
                <w:b/>
                <w:sz w:val="24"/>
                <w:lang w:val="vi-VN"/>
              </w:rPr>
            </w:pPr>
            <w:r w:rsidRPr="008A5050">
              <w:rPr>
                <w:b/>
                <w:sz w:val="24"/>
                <w:lang w:val="vi-VN"/>
              </w:rPr>
              <w:t>Tổ chức đấu giá và xử lý tình huống đấu giá</w:t>
            </w:r>
          </w:p>
        </w:tc>
        <w:tc>
          <w:tcPr>
            <w:tcW w:w="4706" w:type="dxa"/>
          </w:tcPr>
          <w:p w:rsidR="0056613E" w:rsidRPr="001C6C62" w:rsidRDefault="0056613E" w:rsidP="007A1C8F">
            <w:pPr>
              <w:tabs>
                <w:tab w:val="left" w:pos="1605"/>
              </w:tabs>
              <w:rPr>
                <w:sz w:val="24"/>
                <w:lang w:val="vi-VN"/>
              </w:rPr>
            </w:pPr>
            <w:r w:rsidRPr="001C6C62">
              <w:rPr>
                <w:b/>
                <w:sz w:val="24"/>
                <w:lang w:val="vi-VN"/>
              </w:rPr>
              <w:t xml:space="preserve">Viettel: </w:t>
            </w:r>
            <w:r w:rsidRPr="001C6C62">
              <w:rPr>
                <w:sz w:val="24"/>
                <w:lang w:val="vi-VN"/>
              </w:rPr>
              <w:t>Bỏ cụm từ “và các doanh nghiệp không trả giá hoặc trả giá bằng giá khởi điểm” tại khoản 3 Điều 12. Sửa lại như sau:</w:t>
            </w:r>
          </w:p>
          <w:p w:rsidR="0056613E" w:rsidRPr="0056613E" w:rsidRDefault="0056613E" w:rsidP="007A1C8F">
            <w:pPr>
              <w:tabs>
                <w:tab w:val="left" w:pos="1605"/>
              </w:tabs>
              <w:rPr>
                <w:i/>
                <w:sz w:val="24"/>
                <w:lang w:val="vi-VN"/>
              </w:rPr>
            </w:pPr>
            <w:r w:rsidRPr="001C6C62">
              <w:rPr>
                <w:i/>
                <w:sz w:val="24"/>
                <w:lang w:val="vi-VN"/>
              </w:rPr>
              <w:t xml:space="preserve">3. Khi tổ chức đấu giá, nếu tổng độ rộng các khối băng tần mà các doanh nghiệp đủ điều </w:t>
            </w:r>
            <w:r w:rsidRPr="001C6C62">
              <w:rPr>
                <w:i/>
                <w:sz w:val="24"/>
                <w:lang w:val="vi-VN"/>
              </w:rPr>
              <w:lastRenderedPageBreak/>
              <w:t>kiện tham gia đấu giá đăng ký bằng hoặc ít hơn khả năng phân bổ xác định trong quy hoạch</w:t>
            </w:r>
            <w:r>
              <w:rPr>
                <w:i/>
                <w:sz w:val="24"/>
                <w:lang w:val="vi-VN"/>
              </w:rPr>
              <w:t xml:space="preserve"> </w:t>
            </w:r>
            <w:r w:rsidRPr="001C6C62">
              <w:rPr>
                <w:i/>
                <w:sz w:val="24"/>
                <w:lang w:val="vi-VN"/>
              </w:rPr>
              <w:t>tần số vô tuyến điện và quy định khác về tần số vô tuyến điện thì Bộ Thông tin và Truyền thông bán khối băng tần cho doanh nghiệp với tiền cấp quyền sử dụng tần số vô tuyến điện bằng giá khởi điểm.</w:t>
            </w:r>
          </w:p>
        </w:tc>
        <w:tc>
          <w:tcPr>
            <w:tcW w:w="7563" w:type="dxa"/>
            <w:vMerge w:val="restart"/>
          </w:tcPr>
          <w:p w:rsidR="0056613E" w:rsidRPr="0056613E" w:rsidRDefault="0056613E" w:rsidP="0056613E">
            <w:pPr>
              <w:rPr>
                <w:sz w:val="24"/>
                <w:lang w:val="vi-VN"/>
              </w:rPr>
            </w:pPr>
            <w:r w:rsidRPr="0056613E">
              <w:rPr>
                <w:sz w:val="24"/>
                <w:lang w:val="vi-VN"/>
              </w:rPr>
              <w:lastRenderedPageBreak/>
              <w:t xml:space="preserve">Dự thảo đề xuất sửa lại </w:t>
            </w:r>
            <w:r>
              <w:rPr>
                <w:sz w:val="24"/>
                <w:lang w:val="vi-VN"/>
              </w:rPr>
              <w:t xml:space="preserve">phù hợp với ý kiến đóng góp của Viettel, </w:t>
            </w:r>
            <w:r w:rsidRPr="0056613E">
              <w:rPr>
                <w:sz w:val="24"/>
                <w:lang w:val="vi-VN"/>
              </w:rPr>
              <w:t>như sau:</w:t>
            </w:r>
          </w:p>
          <w:p w:rsidR="0056613E" w:rsidRPr="001C6C62" w:rsidRDefault="0056613E" w:rsidP="007B727E">
            <w:pPr>
              <w:rPr>
                <w:sz w:val="24"/>
                <w:lang w:val="vi-VN"/>
              </w:rPr>
            </w:pPr>
            <w:r w:rsidRPr="0056613E">
              <w:rPr>
                <w:sz w:val="24"/>
                <w:lang w:val="vi-VN"/>
              </w:rPr>
              <w:t>“</w:t>
            </w:r>
            <w:r w:rsidR="009D1C5A" w:rsidRPr="009D1C5A">
              <w:rPr>
                <w:sz w:val="24"/>
                <w:lang w:val="vi-VN"/>
              </w:rPr>
              <w:t>Trong trường hợp tổng số khối băng tầ</w:t>
            </w:r>
            <w:r w:rsidR="007B727E">
              <w:rPr>
                <w:sz w:val="24"/>
                <w:lang w:val="vi-VN"/>
              </w:rPr>
              <w:t>n</w:t>
            </w:r>
            <w:r w:rsidR="007B727E">
              <w:rPr>
                <w:sz w:val="24"/>
                <w:lang w:val="en-US"/>
              </w:rPr>
              <w:t xml:space="preserve"> </w:t>
            </w:r>
            <w:r w:rsidR="009D1C5A" w:rsidRPr="009D1C5A">
              <w:rPr>
                <w:sz w:val="24"/>
                <w:lang w:val="vi-VN"/>
              </w:rPr>
              <w:t>mà các doanh nghiệp đủ điều kiện tham gia đấu giá đăng ký mua ít hơn hoặc bằng tổng số khối băng tầ</w:t>
            </w:r>
            <w:r w:rsidR="007B727E">
              <w:rPr>
                <w:sz w:val="24"/>
                <w:lang w:val="vi-VN"/>
              </w:rPr>
              <w:t xml:space="preserve">n </w:t>
            </w:r>
            <w:r w:rsidR="009D1C5A" w:rsidRPr="009D1C5A">
              <w:rPr>
                <w:sz w:val="24"/>
                <w:lang w:val="vi-VN"/>
              </w:rPr>
              <w:t>được đấu giá thì doanh nghiệp tham gia đấu giá được phép mua số khối băng tầ</w:t>
            </w:r>
            <w:r w:rsidR="007B727E">
              <w:rPr>
                <w:sz w:val="24"/>
                <w:lang w:val="vi-VN"/>
              </w:rPr>
              <w:t xml:space="preserve">n </w:t>
            </w:r>
            <w:r w:rsidR="009D1C5A" w:rsidRPr="009D1C5A">
              <w:rPr>
                <w:sz w:val="24"/>
                <w:lang w:val="vi-VN"/>
              </w:rPr>
              <w:t>theo đăng ký với giá trả ít nhất bằng giá khởi điểm</w:t>
            </w:r>
            <w:r w:rsidRPr="0056613E">
              <w:rPr>
                <w:sz w:val="24"/>
                <w:lang w:val="vi-VN"/>
              </w:rPr>
              <w:t>.”</w:t>
            </w:r>
          </w:p>
        </w:tc>
      </w:tr>
      <w:tr w:rsidR="0056613E" w:rsidRPr="000A094E" w:rsidTr="001A3FED">
        <w:trPr>
          <w:trHeight w:val="79"/>
        </w:trPr>
        <w:tc>
          <w:tcPr>
            <w:tcW w:w="674" w:type="dxa"/>
            <w:vMerge/>
            <w:vAlign w:val="center"/>
          </w:tcPr>
          <w:p w:rsidR="0056613E" w:rsidRDefault="0056613E" w:rsidP="008A2475">
            <w:pPr>
              <w:jc w:val="center"/>
              <w:rPr>
                <w:b/>
                <w:sz w:val="24"/>
                <w:lang w:val="vi-VN"/>
              </w:rPr>
            </w:pPr>
          </w:p>
        </w:tc>
        <w:tc>
          <w:tcPr>
            <w:tcW w:w="1561" w:type="dxa"/>
            <w:vMerge/>
            <w:vAlign w:val="center"/>
          </w:tcPr>
          <w:p w:rsidR="0056613E" w:rsidRPr="008A5050" w:rsidRDefault="0056613E" w:rsidP="008A2475">
            <w:pPr>
              <w:jc w:val="center"/>
              <w:rPr>
                <w:b/>
                <w:sz w:val="24"/>
                <w:lang w:val="vi-VN"/>
              </w:rPr>
            </w:pPr>
          </w:p>
        </w:tc>
        <w:tc>
          <w:tcPr>
            <w:tcW w:w="4706" w:type="dxa"/>
          </w:tcPr>
          <w:p w:rsidR="0056613E" w:rsidRPr="001C6C62" w:rsidRDefault="0056613E" w:rsidP="007A1C8F">
            <w:pPr>
              <w:tabs>
                <w:tab w:val="left" w:pos="1605"/>
              </w:tabs>
              <w:rPr>
                <w:b/>
                <w:sz w:val="24"/>
                <w:lang w:val="vi-VN"/>
              </w:rPr>
            </w:pPr>
            <w:r w:rsidRPr="0056613E">
              <w:rPr>
                <w:b/>
                <w:sz w:val="24"/>
                <w:lang w:val="vi-VN"/>
              </w:rPr>
              <w:t xml:space="preserve">Viettel </w:t>
            </w:r>
            <w:r w:rsidRPr="0056613E">
              <w:rPr>
                <w:bCs/>
                <w:sz w:val="24"/>
                <w:lang w:val="vi-VN"/>
              </w:rPr>
              <w:t>đề xuất cấp bằng mức thu và vị trí khối băng tần được cấp theo đăng ký ban đầu của doanh nghiệp. Trường hợp có 2 hoặc nhiều doanh nghiệp cùng đăng ký lựa chọn một khối băng tần thì đấu giá quyền lựa chọn.</w:t>
            </w:r>
          </w:p>
        </w:tc>
        <w:tc>
          <w:tcPr>
            <w:tcW w:w="7563" w:type="dxa"/>
            <w:vMerge/>
          </w:tcPr>
          <w:p w:rsidR="0056613E" w:rsidRPr="001C6C62" w:rsidRDefault="0056613E" w:rsidP="007A1C8F">
            <w:pPr>
              <w:rPr>
                <w:sz w:val="24"/>
                <w:lang w:val="vi-VN"/>
              </w:rPr>
            </w:pPr>
          </w:p>
        </w:tc>
      </w:tr>
      <w:tr w:rsidR="00BC71B2" w:rsidRPr="000A094E" w:rsidTr="001A3FED">
        <w:trPr>
          <w:trHeight w:val="79"/>
        </w:trPr>
        <w:tc>
          <w:tcPr>
            <w:tcW w:w="674" w:type="dxa"/>
            <w:vAlign w:val="center"/>
          </w:tcPr>
          <w:p w:rsidR="00BC71B2" w:rsidRPr="001C6C62" w:rsidRDefault="00BC71B2" w:rsidP="008A2475">
            <w:pPr>
              <w:jc w:val="center"/>
              <w:rPr>
                <w:b/>
                <w:sz w:val="24"/>
                <w:lang w:val="vi-VN"/>
              </w:rPr>
            </w:pPr>
            <w:r w:rsidRPr="001C6C62">
              <w:rPr>
                <w:b/>
                <w:sz w:val="24"/>
                <w:lang w:val="vi-VN"/>
              </w:rPr>
              <w:t>1</w:t>
            </w:r>
            <w:r w:rsidR="00B2164E">
              <w:rPr>
                <w:b/>
                <w:sz w:val="24"/>
                <w:lang w:val="vi-VN"/>
              </w:rPr>
              <w:t>2</w:t>
            </w:r>
          </w:p>
        </w:tc>
        <w:tc>
          <w:tcPr>
            <w:tcW w:w="1561" w:type="dxa"/>
            <w:vAlign w:val="center"/>
          </w:tcPr>
          <w:p w:rsidR="00BC71B2" w:rsidRPr="001C6C62" w:rsidRDefault="00C3227B" w:rsidP="008A2475">
            <w:pPr>
              <w:jc w:val="center"/>
              <w:rPr>
                <w:b/>
                <w:sz w:val="24"/>
                <w:lang w:val="vi-VN"/>
              </w:rPr>
            </w:pPr>
            <w:r w:rsidRPr="00C3227B">
              <w:rPr>
                <w:b/>
                <w:sz w:val="24"/>
                <w:lang w:val="vi-VN"/>
              </w:rPr>
              <w:t>Tiền đặt cọc và xử lý tiền đặt cọc</w:t>
            </w:r>
          </w:p>
        </w:tc>
        <w:tc>
          <w:tcPr>
            <w:tcW w:w="4706" w:type="dxa"/>
          </w:tcPr>
          <w:p w:rsidR="00BC71B2" w:rsidRPr="001C6C62" w:rsidRDefault="00BC71B2" w:rsidP="00BC71B2">
            <w:pPr>
              <w:tabs>
                <w:tab w:val="left" w:pos="1605"/>
              </w:tabs>
              <w:rPr>
                <w:bCs/>
                <w:sz w:val="24"/>
                <w:lang w:val="vi-VN"/>
              </w:rPr>
            </w:pPr>
            <w:r w:rsidRPr="001C6C62">
              <w:rPr>
                <w:bCs/>
                <w:sz w:val="24"/>
                <w:lang w:val="vi-VN"/>
              </w:rPr>
              <w:t>MobiFone:</w:t>
            </w:r>
          </w:p>
          <w:p w:rsidR="00BC71B2" w:rsidRPr="001C6C62" w:rsidRDefault="00BC71B2" w:rsidP="00BC71B2">
            <w:pPr>
              <w:tabs>
                <w:tab w:val="left" w:pos="1605"/>
              </w:tabs>
              <w:rPr>
                <w:bCs/>
                <w:sz w:val="24"/>
                <w:lang w:val="vi-VN"/>
              </w:rPr>
            </w:pPr>
            <w:r w:rsidRPr="001C6C62">
              <w:rPr>
                <w:bCs/>
                <w:sz w:val="24"/>
                <w:lang w:val="vi-VN"/>
              </w:rPr>
              <w:t>- Đề nghị dự thảo bổ sung thêm điều khoản hoàn trả tiền đặt cọc trong trường hợp doanh nghiệp không trúng đấu giá, cụ thể:</w:t>
            </w:r>
          </w:p>
          <w:p w:rsidR="00BC71B2" w:rsidRPr="001C6C62" w:rsidRDefault="00BC71B2" w:rsidP="00BC71B2">
            <w:pPr>
              <w:tabs>
                <w:tab w:val="left" w:pos="1605"/>
              </w:tabs>
              <w:rPr>
                <w:bCs/>
                <w:sz w:val="24"/>
                <w:lang w:val="vi-VN"/>
              </w:rPr>
            </w:pPr>
            <w:r w:rsidRPr="001C6C62">
              <w:rPr>
                <w:bCs/>
                <w:sz w:val="24"/>
                <w:lang w:val="vi-VN"/>
              </w:rPr>
              <w:t>“Bộ Thông tin và Truyền thông có trách nhiệm trả lại khoản tiền đặt trước và thanh toán tiền lãi (nếu có) trong trường hợp doanh nghiệp tham gia đấu giá không trúng đấu giá theo các quy định của Luật Đấu giá tài sản và các quy định pháp luật có liên quan”.</w:t>
            </w:r>
          </w:p>
        </w:tc>
        <w:tc>
          <w:tcPr>
            <w:tcW w:w="7563" w:type="dxa"/>
          </w:tcPr>
          <w:p w:rsidR="00BC71B2" w:rsidRPr="001C6C62" w:rsidRDefault="00BC71B2">
            <w:pPr>
              <w:rPr>
                <w:sz w:val="24"/>
                <w:lang w:val="vi-VN"/>
              </w:rPr>
            </w:pPr>
            <w:r w:rsidRPr="001C6C62">
              <w:rPr>
                <w:sz w:val="24"/>
                <w:lang w:val="vi-VN"/>
              </w:rPr>
              <w:t>Đã bổ sung quy định</w:t>
            </w:r>
            <w:r w:rsidR="0062556C" w:rsidRPr="00842678">
              <w:rPr>
                <w:sz w:val="24"/>
                <w:lang w:val="vi-VN"/>
              </w:rPr>
              <w:t xml:space="preserve"> để làm rõ:</w:t>
            </w:r>
            <w:r w:rsidRPr="001C6C62">
              <w:rPr>
                <w:sz w:val="24"/>
                <w:lang w:val="vi-VN"/>
              </w:rPr>
              <w:t xml:space="preserve"> </w:t>
            </w:r>
            <w:r w:rsidR="0062556C" w:rsidRPr="00842678">
              <w:rPr>
                <w:sz w:val="24"/>
                <w:lang w:val="vi-VN"/>
              </w:rPr>
              <w:t xml:space="preserve">trình tự, thủ tục </w:t>
            </w:r>
            <w:r w:rsidRPr="001C6C62">
              <w:rPr>
                <w:sz w:val="24"/>
                <w:lang w:val="vi-VN"/>
              </w:rPr>
              <w:t xml:space="preserve">đấu giá thực hiện theo quy định của Luật đấu giá tài sản và quy định của Nghị định này. </w:t>
            </w:r>
            <w:r w:rsidR="0062556C" w:rsidRPr="00842678">
              <w:rPr>
                <w:sz w:val="24"/>
                <w:lang w:val="vi-VN"/>
              </w:rPr>
              <w:t>Theo đó, n</w:t>
            </w:r>
            <w:r w:rsidRPr="001C6C62">
              <w:rPr>
                <w:sz w:val="24"/>
                <w:lang w:val="vi-VN"/>
              </w:rPr>
              <w:t>ội dung về tiền đặt trước và hoàn trả tiền đặt trước thực hiện theo quy tại Luật Đấu giá tài sản.</w:t>
            </w:r>
          </w:p>
        </w:tc>
      </w:tr>
      <w:tr w:rsidR="004A5782" w:rsidRPr="000A094E" w:rsidTr="001A3FED">
        <w:trPr>
          <w:trHeight w:val="79"/>
        </w:trPr>
        <w:tc>
          <w:tcPr>
            <w:tcW w:w="674" w:type="dxa"/>
            <w:vAlign w:val="center"/>
          </w:tcPr>
          <w:p w:rsidR="004A5782" w:rsidRPr="001C6C62" w:rsidRDefault="004A5782" w:rsidP="008A2475">
            <w:pPr>
              <w:jc w:val="center"/>
              <w:rPr>
                <w:b/>
                <w:sz w:val="24"/>
                <w:lang w:val="vi-VN"/>
              </w:rPr>
            </w:pPr>
            <w:r w:rsidRPr="001C6C62">
              <w:rPr>
                <w:b/>
                <w:sz w:val="24"/>
                <w:lang w:val="vi-VN"/>
              </w:rPr>
              <w:t>1</w:t>
            </w:r>
            <w:r w:rsidR="00B2164E">
              <w:rPr>
                <w:b/>
                <w:sz w:val="24"/>
                <w:lang w:val="vi-VN"/>
              </w:rPr>
              <w:t>3</w:t>
            </w:r>
          </w:p>
        </w:tc>
        <w:tc>
          <w:tcPr>
            <w:tcW w:w="1561" w:type="dxa"/>
            <w:vAlign w:val="center"/>
          </w:tcPr>
          <w:p w:rsidR="004A5782" w:rsidRPr="001C6C62" w:rsidRDefault="004A5782" w:rsidP="008A2475">
            <w:pPr>
              <w:jc w:val="center"/>
              <w:rPr>
                <w:b/>
                <w:sz w:val="24"/>
                <w:lang w:val="vi-VN"/>
              </w:rPr>
            </w:pPr>
            <w:r w:rsidRPr="001C6C62">
              <w:rPr>
                <w:b/>
                <w:sz w:val="24"/>
                <w:lang w:val="vi-VN"/>
              </w:rPr>
              <w:t>Chuyển nhượng quyền sử dụng tần số vô tuyến điện</w:t>
            </w:r>
            <w:r w:rsidR="00C3227B">
              <w:rPr>
                <w:b/>
                <w:sz w:val="24"/>
                <w:lang w:val="vi-VN"/>
              </w:rPr>
              <w:t xml:space="preserve"> đối với băng tần</w:t>
            </w:r>
          </w:p>
        </w:tc>
        <w:tc>
          <w:tcPr>
            <w:tcW w:w="4706" w:type="dxa"/>
          </w:tcPr>
          <w:p w:rsidR="004A5782" w:rsidRPr="001C6C62" w:rsidRDefault="004A5782" w:rsidP="00D84D7F">
            <w:pPr>
              <w:tabs>
                <w:tab w:val="left" w:pos="1605"/>
              </w:tabs>
              <w:rPr>
                <w:b/>
                <w:sz w:val="24"/>
                <w:lang w:val="vi-VN"/>
              </w:rPr>
            </w:pPr>
            <w:r w:rsidRPr="001C6C62">
              <w:rPr>
                <w:b/>
                <w:sz w:val="24"/>
                <w:lang w:val="vi-VN"/>
              </w:rPr>
              <w:t xml:space="preserve">VNPT: </w:t>
            </w:r>
          </w:p>
          <w:p w:rsidR="004A5782" w:rsidRPr="001C6C62" w:rsidRDefault="004A5782" w:rsidP="00D84D7F">
            <w:pPr>
              <w:tabs>
                <w:tab w:val="left" w:pos="1605"/>
              </w:tabs>
              <w:rPr>
                <w:sz w:val="24"/>
                <w:lang w:val="vi-VN"/>
              </w:rPr>
            </w:pPr>
            <w:r w:rsidRPr="001C6C62">
              <w:rPr>
                <w:sz w:val="24"/>
                <w:lang w:val="vi-VN"/>
              </w:rPr>
              <w:t xml:space="preserve">Để triển khai dự án thường khoảng 18 tháng mới đưa được thiết bị vào mạng lưới. </w:t>
            </w:r>
          </w:p>
          <w:p w:rsidR="004A5782" w:rsidRPr="001C6C62" w:rsidRDefault="004A5782" w:rsidP="00D84D7F">
            <w:pPr>
              <w:tabs>
                <w:tab w:val="left" w:pos="1605"/>
              </w:tabs>
              <w:rPr>
                <w:b/>
                <w:sz w:val="24"/>
                <w:lang w:val="vi-VN"/>
              </w:rPr>
            </w:pPr>
            <w:r w:rsidRPr="001C6C62">
              <w:rPr>
                <w:sz w:val="24"/>
                <w:lang w:val="vi-VN"/>
              </w:rPr>
              <w:t xml:space="preserve">Do vậy đề nghị 3 năm + 18 tháng = </w:t>
            </w:r>
            <w:r w:rsidRPr="001C6C62">
              <w:rPr>
                <w:b/>
                <w:sz w:val="24"/>
                <w:lang w:val="vi-VN"/>
              </w:rPr>
              <w:t>4,5 năm sau mới cho phép chuyển nhượng.</w:t>
            </w:r>
          </w:p>
        </w:tc>
        <w:tc>
          <w:tcPr>
            <w:tcW w:w="7563" w:type="dxa"/>
          </w:tcPr>
          <w:p w:rsidR="004A5782" w:rsidRDefault="004A5782" w:rsidP="007A1C8F">
            <w:pPr>
              <w:rPr>
                <w:sz w:val="24"/>
                <w:lang w:val="vi-VN"/>
              </w:rPr>
            </w:pPr>
            <w:r w:rsidRPr="001C6C62">
              <w:rPr>
                <w:sz w:val="24"/>
                <w:lang w:val="vi-VN"/>
              </w:rPr>
              <w:t>Tiếp thu.</w:t>
            </w:r>
          </w:p>
          <w:p w:rsidR="006F4E1B" w:rsidRDefault="006F4E1B" w:rsidP="007A1C8F">
            <w:pPr>
              <w:rPr>
                <w:sz w:val="24"/>
                <w:lang w:val="vi-VN"/>
              </w:rPr>
            </w:pPr>
            <w:r w:rsidRPr="006F4E1B">
              <w:rPr>
                <w:sz w:val="24"/>
                <w:lang w:val="vi-VN"/>
              </w:rPr>
              <w:t xml:space="preserve">Doanh nghiệp được cấp giấy phép sử dụng băng tần thông qua đấu giá được phép chuyển nhượng quyền sử dụng tần số vô tuyến nhưng không sớm hơn </w:t>
            </w:r>
            <w:r>
              <w:rPr>
                <w:sz w:val="24"/>
                <w:lang w:val="vi-VN"/>
              </w:rPr>
              <w:t>05</w:t>
            </w:r>
            <w:r w:rsidRPr="006F4E1B">
              <w:rPr>
                <w:sz w:val="24"/>
                <w:lang w:val="vi-VN"/>
              </w:rPr>
              <w:t xml:space="preserve"> năm kể từ ngày được cấp giấy phép sử dụng băng tần</w:t>
            </w:r>
            <w:r>
              <w:rPr>
                <w:sz w:val="24"/>
                <w:lang w:val="vi-VN"/>
              </w:rPr>
              <w:t>.</w:t>
            </w:r>
          </w:p>
          <w:p w:rsidR="006F4E1B" w:rsidRPr="001C6C62" w:rsidRDefault="006F4E1B" w:rsidP="007A1C8F">
            <w:pPr>
              <w:rPr>
                <w:sz w:val="24"/>
                <w:lang w:val="vi-VN"/>
              </w:rPr>
            </w:pPr>
          </w:p>
        </w:tc>
      </w:tr>
      <w:tr w:rsidR="004A5782" w:rsidRPr="000A094E" w:rsidTr="001A3FED">
        <w:trPr>
          <w:trHeight w:val="79"/>
        </w:trPr>
        <w:tc>
          <w:tcPr>
            <w:tcW w:w="674" w:type="dxa"/>
            <w:vMerge w:val="restart"/>
            <w:vAlign w:val="center"/>
          </w:tcPr>
          <w:p w:rsidR="004A5782" w:rsidRPr="001C6C62" w:rsidRDefault="004A5782" w:rsidP="008A2475">
            <w:pPr>
              <w:jc w:val="center"/>
              <w:rPr>
                <w:b/>
                <w:sz w:val="24"/>
                <w:lang w:val="vi-VN"/>
              </w:rPr>
            </w:pPr>
            <w:r w:rsidRPr="001C6C62">
              <w:rPr>
                <w:b/>
                <w:sz w:val="24"/>
                <w:lang w:val="vi-VN"/>
              </w:rPr>
              <w:t>1</w:t>
            </w:r>
            <w:r w:rsidR="008A5050">
              <w:rPr>
                <w:b/>
                <w:sz w:val="24"/>
                <w:lang w:val="vi-VN"/>
              </w:rPr>
              <w:t>4</w:t>
            </w:r>
          </w:p>
        </w:tc>
        <w:tc>
          <w:tcPr>
            <w:tcW w:w="1561" w:type="dxa"/>
            <w:vMerge w:val="restart"/>
            <w:vAlign w:val="center"/>
          </w:tcPr>
          <w:p w:rsidR="004A5782" w:rsidRPr="001C6C62" w:rsidRDefault="004A5782" w:rsidP="008A2475">
            <w:pPr>
              <w:jc w:val="center"/>
              <w:rPr>
                <w:b/>
                <w:sz w:val="24"/>
                <w:lang w:val="en-US"/>
              </w:rPr>
            </w:pPr>
            <w:r w:rsidRPr="001C6C62">
              <w:rPr>
                <w:b/>
                <w:sz w:val="24"/>
                <w:lang w:val="en-US"/>
              </w:rPr>
              <w:t>Điều khoản thi hành</w:t>
            </w:r>
          </w:p>
        </w:tc>
        <w:tc>
          <w:tcPr>
            <w:tcW w:w="4706" w:type="dxa"/>
          </w:tcPr>
          <w:p w:rsidR="004A5782" w:rsidRPr="001C6C62" w:rsidRDefault="004A5782" w:rsidP="00360592">
            <w:pPr>
              <w:rPr>
                <w:b/>
                <w:bCs/>
                <w:sz w:val="24"/>
                <w:lang w:val="en-US"/>
              </w:rPr>
            </w:pPr>
            <w:r w:rsidRPr="001C6C62">
              <w:rPr>
                <w:b/>
                <w:bCs/>
                <w:sz w:val="24"/>
                <w:lang w:val="en-US"/>
              </w:rPr>
              <w:t>VNPT: Bổ sung khoản 2 Điều 26 như sau</w:t>
            </w:r>
          </w:p>
          <w:p w:rsidR="004A5782" w:rsidRPr="001C6C62" w:rsidRDefault="004A5782" w:rsidP="00360592">
            <w:pPr>
              <w:rPr>
                <w:bCs/>
                <w:i/>
                <w:sz w:val="24"/>
                <w:lang w:val="en-US"/>
              </w:rPr>
            </w:pPr>
            <w:r w:rsidRPr="001C6C62">
              <w:rPr>
                <w:bCs/>
                <w:i/>
                <w:sz w:val="24"/>
                <w:lang w:val="en-US"/>
              </w:rPr>
              <w:t xml:space="preserve">2. Các doanh nghiệp nhà nước tham gia đấu giá được quyền quyết định về toàn bộ chi phí </w:t>
            </w:r>
            <w:r w:rsidRPr="001C6C62">
              <w:rPr>
                <w:bCs/>
                <w:i/>
                <w:sz w:val="24"/>
                <w:lang w:val="en-US"/>
              </w:rPr>
              <w:lastRenderedPageBreak/>
              <w:t>đấu giá, quyền quyết định trả giá trong quá trình đấu giá.</w:t>
            </w:r>
          </w:p>
          <w:p w:rsidR="004A5782" w:rsidRPr="001C6C62" w:rsidRDefault="004A5782" w:rsidP="00360592">
            <w:pPr>
              <w:rPr>
                <w:bCs/>
                <w:i/>
                <w:sz w:val="24"/>
                <w:lang w:val="en-US"/>
              </w:rPr>
            </w:pPr>
            <w:r w:rsidRPr="001C6C62">
              <w:rPr>
                <w:bCs/>
                <w:i/>
                <w:sz w:val="24"/>
                <w:lang w:val="en-US"/>
              </w:rPr>
              <w:t>3. Cơ quan đại diện chủ sở hữu đối với doanh nghiệp chấp thuận chi phí, vốn doanh nghiệp đã quyết định đấu giá, chấp thuận kế hoạch đầu tư (bổ sung kế hoạch năm) đáp ứng điều kiện triển khai mạng viễn thông theo yêu cầu đối với cuộc đấu giá (quy định tại điểm c, khoản 3 điều 12 của Nghị định này).</w:t>
            </w:r>
          </w:p>
          <w:p w:rsidR="004A5782" w:rsidRPr="001C6C62" w:rsidRDefault="004A5782" w:rsidP="00360592">
            <w:pPr>
              <w:rPr>
                <w:bCs/>
                <w:i/>
                <w:sz w:val="24"/>
                <w:lang w:val="en-US"/>
              </w:rPr>
            </w:pPr>
            <w:r w:rsidRPr="001C6C62">
              <w:rPr>
                <w:bCs/>
                <w:i/>
                <w:sz w:val="24"/>
                <w:lang w:val="en-US"/>
              </w:rPr>
              <w:t>4. Trong năm đấu giá, cơ quan đại diện chủ sở hữu đối với doanh nghiệpthực hiện loại trừ chi phí đấu giá băng tần cho doanh nghiệp trúng đấu giá trong các trường hợp:</w:t>
            </w:r>
          </w:p>
          <w:p w:rsidR="004A5782" w:rsidRPr="001C6C62" w:rsidRDefault="004A5782" w:rsidP="00360592">
            <w:pPr>
              <w:rPr>
                <w:bCs/>
                <w:i/>
                <w:sz w:val="24"/>
                <w:lang w:val="en-US"/>
              </w:rPr>
            </w:pPr>
            <w:r w:rsidRPr="001C6C62">
              <w:rPr>
                <w:bCs/>
                <w:i/>
                <w:sz w:val="24"/>
                <w:lang w:val="en-US"/>
              </w:rPr>
              <w:t>a. Đánh giá mức độ hoàn thành chỉ tiêu kế hoạch SXKD do chủ sở hữu giao.</w:t>
            </w:r>
          </w:p>
          <w:p w:rsidR="004A5782" w:rsidRPr="001C6C62" w:rsidRDefault="004A5782" w:rsidP="00360592">
            <w:pPr>
              <w:rPr>
                <w:bCs/>
                <w:i/>
                <w:sz w:val="24"/>
                <w:lang w:val="en-US"/>
              </w:rPr>
            </w:pPr>
            <w:r w:rsidRPr="001C6C62">
              <w:rPr>
                <w:bCs/>
                <w:i/>
                <w:sz w:val="24"/>
                <w:lang w:val="en-US"/>
              </w:rPr>
              <w:t>b. Đánh giá xếp hạng doanh nghiệp theo Nghị định 87/2015/NĐ-CP về về giám sát đầu tư vốn nhà nước vào doanh nghiệp; giám sát tài chính, đánh giá hiệu quả hoạt động và công khai thông tin tài chính của doanh nghiệp nhà nước và doanh nghiệp có vốn nhà nước.</w:t>
            </w:r>
            <w:r w:rsidRPr="001C6C62">
              <w:rPr>
                <w:bCs/>
                <w:i/>
                <w:sz w:val="24"/>
                <w:lang w:val="en-US"/>
              </w:rPr>
              <w:cr/>
              <w:t>c. Khi phê duyệt quỹ tiền lương thực hiện năm tham gia đấu giá của doanh nghiệp.</w:t>
            </w:r>
          </w:p>
          <w:p w:rsidR="004A5782" w:rsidRPr="001C6C62" w:rsidRDefault="004A5782" w:rsidP="00360592">
            <w:pPr>
              <w:rPr>
                <w:bCs/>
                <w:i/>
                <w:sz w:val="24"/>
                <w:lang w:val="en-US"/>
              </w:rPr>
            </w:pPr>
            <w:r w:rsidRPr="001C6C62">
              <w:rPr>
                <w:bCs/>
                <w:i/>
                <w:sz w:val="24"/>
                <w:lang w:val="en-US"/>
              </w:rPr>
              <w:t>5. Các năm tiếp theo năm thực hiện đấu giá, cơ quan đại diện chủ sở hữu đối với doanh nghiệp thực hiện loại trừ chi phí đấu giá băng tần cho doanh nghiệp trúng đấu giá trong các trường hợp:</w:t>
            </w:r>
          </w:p>
          <w:p w:rsidR="004A5782" w:rsidRPr="001C6C62" w:rsidRDefault="004A5782" w:rsidP="00360592">
            <w:pPr>
              <w:rPr>
                <w:bCs/>
                <w:i/>
                <w:sz w:val="24"/>
                <w:lang w:val="en-US"/>
              </w:rPr>
            </w:pPr>
            <w:r w:rsidRPr="001C6C62">
              <w:rPr>
                <w:bCs/>
                <w:i/>
                <w:sz w:val="24"/>
                <w:lang w:val="en-US"/>
              </w:rPr>
              <w:t>a. Khi giao các chỉ tiêu kế hoạch sản xuất kinh doanh, đầu tư phát triển hàng năm cho doanh nghiệp.</w:t>
            </w:r>
          </w:p>
          <w:p w:rsidR="004A5782" w:rsidRPr="001C6C62" w:rsidRDefault="004A5782" w:rsidP="00AF6B83">
            <w:pPr>
              <w:rPr>
                <w:sz w:val="24"/>
                <w:lang w:val="en-US"/>
              </w:rPr>
            </w:pPr>
            <w:r w:rsidRPr="001C6C62">
              <w:rPr>
                <w:bCs/>
                <w:i/>
                <w:sz w:val="24"/>
                <w:lang w:val="en-US"/>
              </w:rPr>
              <w:t xml:space="preserve">b. Khi giao và phê duyệt quỹ tiền lương hàng </w:t>
            </w:r>
            <w:r w:rsidRPr="001C6C62">
              <w:rPr>
                <w:bCs/>
                <w:i/>
                <w:sz w:val="24"/>
                <w:lang w:val="en-US"/>
              </w:rPr>
              <w:lastRenderedPageBreak/>
              <w:t>năm cho doanh nghiệp.</w:t>
            </w:r>
          </w:p>
        </w:tc>
        <w:tc>
          <w:tcPr>
            <w:tcW w:w="7563" w:type="dxa"/>
            <w:vMerge w:val="restart"/>
          </w:tcPr>
          <w:p w:rsidR="004A5782" w:rsidRPr="001C6C62" w:rsidRDefault="004A5782" w:rsidP="00F74B47">
            <w:pPr>
              <w:jc w:val="left"/>
              <w:rPr>
                <w:sz w:val="24"/>
                <w:lang w:val="en-US"/>
              </w:rPr>
            </w:pPr>
            <w:r w:rsidRPr="001C6C62">
              <w:rPr>
                <w:sz w:val="24"/>
                <w:lang w:val="en-US"/>
              </w:rPr>
              <w:lastRenderedPageBreak/>
              <w:t>Nội dung này không thuộc phạm vi hướng dẫn của Nghị định này.</w:t>
            </w:r>
          </w:p>
        </w:tc>
      </w:tr>
      <w:tr w:rsidR="004A5782" w:rsidRPr="000A094E" w:rsidTr="001A3FED">
        <w:trPr>
          <w:trHeight w:val="79"/>
        </w:trPr>
        <w:tc>
          <w:tcPr>
            <w:tcW w:w="674" w:type="dxa"/>
            <w:vMerge/>
            <w:vAlign w:val="center"/>
          </w:tcPr>
          <w:p w:rsidR="004A5782" w:rsidRPr="001C6C62" w:rsidRDefault="004A5782" w:rsidP="008A2475">
            <w:pPr>
              <w:jc w:val="center"/>
              <w:rPr>
                <w:b/>
                <w:sz w:val="24"/>
                <w:lang w:val="en-US"/>
              </w:rPr>
            </w:pPr>
          </w:p>
        </w:tc>
        <w:tc>
          <w:tcPr>
            <w:tcW w:w="1561" w:type="dxa"/>
            <w:vMerge/>
            <w:vAlign w:val="center"/>
          </w:tcPr>
          <w:p w:rsidR="004A5782" w:rsidRPr="001C6C62" w:rsidRDefault="004A5782" w:rsidP="008A2475">
            <w:pPr>
              <w:jc w:val="center"/>
              <w:rPr>
                <w:b/>
                <w:sz w:val="24"/>
                <w:lang w:val="en-US"/>
              </w:rPr>
            </w:pPr>
          </w:p>
        </w:tc>
        <w:tc>
          <w:tcPr>
            <w:tcW w:w="4706" w:type="dxa"/>
          </w:tcPr>
          <w:p w:rsidR="006C71A6" w:rsidRPr="001C6C62" w:rsidRDefault="006C71A6" w:rsidP="006C71A6">
            <w:pPr>
              <w:rPr>
                <w:b/>
                <w:bCs/>
                <w:sz w:val="24"/>
                <w:lang w:val="en-US"/>
              </w:rPr>
            </w:pPr>
            <w:r w:rsidRPr="001C6C62">
              <w:rPr>
                <w:b/>
                <w:bCs/>
                <w:sz w:val="24"/>
                <w:lang w:val="en-US"/>
              </w:rPr>
              <w:t>MobiFone:</w:t>
            </w:r>
          </w:p>
          <w:p w:rsidR="006C71A6" w:rsidRPr="001C6C62" w:rsidRDefault="006C71A6" w:rsidP="006C71A6">
            <w:pPr>
              <w:rPr>
                <w:sz w:val="24"/>
                <w:lang w:val="en-US"/>
              </w:rPr>
            </w:pPr>
            <w:r w:rsidRPr="001C6C62">
              <w:rPr>
                <w:sz w:val="24"/>
                <w:lang w:val="en-US"/>
              </w:rPr>
              <w:t>Bổ sung thêm vào khoản 2 Điều này:</w:t>
            </w:r>
          </w:p>
          <w:p w:rsidR="006C71A6" w:rsidRPr="001C6C62" w:rsidRDefault="006C71A6" w:rsidP="006C71A6">
            <w:pPr>
              <w:rPr>
                <w:sz w:val="24"/>
                <w:lang w:val="en-US"/>
              </w:rPr>
            </w:pPr>
            <w:r w:rsidRPr="001C6C62">
              <w:rPr>
                <w:sz w:val="24"/>
                <w:lang w:val="en-US"/>
              </w:rPr>
              <w:t>2. Bộ trưởng Bộ Thông tin và Truyền thông chủ trì, phối hợp với Bộ Kế hoạch và Đầu tư, Bộ Tài chính, Ủy ban Quản lý vốn nhà nước tại doanh nghiệp, và các Bộ có liên quan có trách nhiệm hướng dẫn thực hiện Nghị định này, đảm bảo sự chủ động tối đa cho các doanh nghiệp khi tham gia đấu giá theo nguyên tắc:</w:t>
            </w:r>
          </w:p>
          <w:p w:rsidR="006C71A6" w:rsidRPr="001C6C62" w:rsidRDefault="006C71A6" w:rsidP="006C71A6">
            <w:pPr>
              <w:rPr>
                <w:sz w:val="24"/>
                <w:lang w:val="en-US"/>
              </w:rPr>
            </w:pPr>
            <w:r w:rsidRPr="001C6C62">
              <w:rPr>
                <w:sz w:val="24"/>
                <w:lang w:val="en-US"/>
              </w:rPr>
              <w:t>a) Cho phép doanh nghiệp được chủ động tham gia đấu giá trước khi thực hiện các thủ tục lập, trình phê duyệt chủ trương đầu tư, dự án đầu tư. Sau khi tham gia đấu giá, doanh nghiệp có trách nhiệm lập, trình phê duyệt chủ trương đầu tư, dự án đầu tư theo các quy định hiện hành.</w:t>
            </w:r>
          </w:p>
          <w:p w:rsidR="004A5782" w:rsidRPr="001C6C62" w:rsidRDefault="006C71A6" w:rsidP="006C71A6">
            <w:pPr>
              <w:rPr>
                <w:b/>
                <w:bCs/>
                <w:sz w:val="24"/>
                <w:lang w:val="en-US"/>
              </w:rPr>
            </w:pPr>
            <w:r w:rsidRPr="001C6C62">
              <w:rPr>
                <w:sz w:val="24"/>
                <w:lang w:val="en-US"/>
              </w:rPr>
              <w:t>b) Toàn bộ chi phí (bao gồm cả tiền đặt cọc) của doanh nghiệp khi tham gia đấu giá được coi là chi phí sản xuất kinh doanh hợp lệ của doanh nghiệp trong trường hợp doanh nghiệp trúng đấu giá nhưng không hình thành dự án đầu tư.</w:t>
            </w:r>
          </w:p>
        </w:tc>
        <w:tc>
          <w:tcPr>
            <w:tcW w:w="7563" w:type="dxa"/>
            <w:vMerge/>
          </w:tcPr>
          <w:p w:rsidR="004A5782" w:rsidRPr="001C6C62" w:rsidRDefault="004A5782" w:rsidP="0030477C">
            <w:pPr>
              <w:rPr>
                <w:sz w:val="24"/>
                <w:lang w:val="en-US"/>
              </w:rPr>
            </w:pPr>
          </w:p>
        </w:tc>
      </w:tr>
      <w:tr w:rsidR="004A5782" w:rsidRPr="000A094E" w:rsidTr="001A3FED">
        <w:trPr>
          <w:trHeight w:val="79"/>
        </w:trPr>
        <w:tc>
          <w:tcPr>
            <w:tcW w:w="674" w:type="dxa"/>
            <w:vMerge/>
            <w:vAlign w:val="center"/>
          </w:tcPr>
          <w:p w:rsidR="004A5782" w:rsidRPr="001C6C62" w:rsidRDefault="004A5782" w:rsidP="008A2475">
            <w:pPr>
              <w:jc w:val="center"/>
              <w:rPr>
                <w:b/>
                <w:sz w:val="24"/>
                <w:lang w:val="en-US"/>
              </w:rPr>
            </w:pPr>
          </w:p>
        </w:tc>
        <w:tc>
          <w:tcPr>
            <w:tcW w:w="1561" w:type="dxa"/>
            <w:vMerge/>
            <w:vAlign w:val="center"/>
          </w:tcPr>
          <w:p w:rsidR="004A5782" w:rsidRPr="001C6C62" w:rsidRDefault="004A5782" w:rsidP="008A2475">
            <w:pPr>
              <w:jc w:val="center"/>
              <w:rPr>
                <w:b/>
                <w:sz w:val="24"/>
                <w:lang w:val="en-US"/>
              </w:rPr>
            </w:pPr>
          </w:p>
        </w:tc>
        <w:tc>
          <w:tcPr>
            <w:tcW w:w="4706" w:type="dxa"/>
          </w:tcPr>
          <w:p w:rsidR="004A5782" w:rsidRPr="001C6C62" w:rsidRDefault="004A5782" w:rsidP="00C62874">
            <w:pPr>
              <w:rPr>
                <w:b/>
                <w:bCs/>
                <w:sz w:val="24"/>
                <w:lang w:val="en-US"/>
              </w:rPr>
            </w:pPr>
            <w:r w:rsidRPr="001C6C62">
              <w:rPr>
                <w:b/>
                <w:bCs/>
                <w:sz w:val="24"/>
                <w:lang w:val="en-US"/>
              </w:rPr>
              <w:t>Viettel: bổ sung khoản 2 Điều 26 như sau</w:t>
            </w:r>
          </w:p>
          <w:p w:rsidR="004A5782" w:rsidRPr="001C6C62" w:rsidRDefault="004A5782" w:rsidP="00C62874">
            <w:pPr>
              <w:rPr>
                <w:bCs/>
                <w:i/>
                <w:sz w:val="24"/>
                <w:lang w:val="en-US"/>
              </w:rPr>
            </w:pPr>
            <w:r w:rsidRPr="001C6C62">
              <w:rPr>
                <w:b/>
                <w:bCs/>
                <w:sz w:val="24"/>
                <w:lang w:val="en-US"/>
              </w:rPr>
              <w:t xml:space="preserve">- </w:t>
            </w:r>
            <w:r w:rsidRPr="001C6C62">
              <w:rPr>
                <w:bCs/>
                <w:i/>
                <w:sz w:val="24"/>
                <w:lang w:val="en-US"/>
              </w:rPr>
              <w:t>BTTTT chủ trì lấy ý kiến của Bộ Kế hoạch và Đầu tư, Bộ Tài chính và các Bộ có liên quan để đưa trực tiếp vào Nghị định nội dung hướng dẫn thực hiện Nghị định này, bảo đảm</w:t>
            </w:r>
            <w:r w:rsidR="008A7F5C">
              <w:rPr>
                <w:bCs/>
                <w:i/>
                <w:sz w:val="24"/>
                <w:lang w:val="en-US"/>
              </w:rPr>
              <w:t xml:space="preserve"> </w:t>
            </w:r>
            <w:r w:rsidRPr="001C6C62">
              <w:rPr>
                <w:bCs/>
                <w:i/>
                <w:sz w:val="24"/>
                <w:lang w:val="en-US"/>
              </w:rPr>
              <w:t>các doanh nghiệp nhà nước được chủ động quyết định về giá trả khi tham gia đấu giá.</w:t>
            </w:r>
          </w:p>
          <w:p w:rsidR="004A5782" w:rsidRPr="001C6C62" w:rsidRDefault="004A5782" w:rsidP="00C62874">
            <w:pPr>
              <w:rPr>
                <w:b/>
                <w:bCs/>
                <w:sz w:val="24"/>
                <w:lang w:val="en-US"/>
              </w:rPr>
            </w:pPr>
          </w:p>
        </w:tc>
        <w:tc>
          <w:tcPr>
            <w:tcW w:w="7563" w:type="dxa"/>
          </w:tcPr>
          <w:p w:rsidR="004A5782" w:rsidRPr="00C61A12" w:rsidRDefault="008A7F5C">
            <w:pPr>
              <w:rPr>
                <w:sz w:val="24"/>
                <w:lang w:val="en-US"/>
              </w:rPr>
            </w:pPr>
            <w:r>
              <w:rPr>
                <w:sz w:val="24"/>
                <w:lang w:val="en-US"/>
              </w:rPr>
              <w:t>Nội dung này không thuộc phạm vi điều chỉnh của Nghị định</w:t>
            </w:r>
          </w:p>
        </w:tc>
      </w:tr>
    </w:tbl>
    <w:p w:rsidR="00F562FC" w:rsidRDefault="00F562FC">
      <w:pPr>
        <w:rPr>
          <w:lang w:val="en-US"/>
        </w:rPr>
      </w:pPr>
    </w:p>
    <w:p w:rsidR="00F562FC" w:rsidRDefault="00F562FC">
      <w:pPr>
        <w:spacing w:after="160" w:line="259" w:lineRule="auto"/>
        <w:jc w:val="left"/>
        <w:rPr>
          <w:lang w:val="en-US"/>
        </w:rPr>
      </w:pPr>
      <w:r>
        <w:rPr>
          <w:lang w:val="en-US"/>
        </w:rPr>
        <w:br w:type="page"/>
      </w:r>
    </w:p>
    <w:p w:rsidR="00940846" w:rsidRPr="001C6C62" w:rsidRDefault="00940846">
      <w:pPr>
        <w:rPr>
          <w:b/>
          <w:lang w:val="en-US"/>
        </w:rPr>
      </w:pPr>
      <w:r w:rsidRPr="001C6C62">
        <w:rPr>
          <w:b/>
          <w:lang w:val="en-US"/>
        </w:rPr>
        <w:lastRenderedPageBreak/>
        <w:t>II. CÁC NỘI DUNG ĐỀ XUẤT KHÁC</w:t>
      </w:r>
    </w:p>
    <w:p w:rsidR="00646A05" w:rsidRPr="001C6C62" w:rsidRDefault="00646A05">
      <w:pPr>
        <w:rPr>
          <w:b/>
          <w:lang w:val="en-US"/>
        </w:rPr>
      </w:pPr>
    </w:p>
    <w:tbl>
      <w:tblPr>
        <w:tblStyle w:val="TableGrid"/>
        <w:tblW w:w="0" w:type="auto"/>
        <w:tblLook w:val="04A0" w:firstRow="1" w:lastRow="0" w:firstColumn="1" w:lastColumn="0" w:noHBand="0" w:noVBand="1"/>
      </w:tblPr>
      <w:tblGrid>
        <w:gridCol w:w="817"/>
        <w:gridCol w:w="7513"/>
        <w:gridCol w:w="5948"/>
      </w:tblGrid>
      <w:tr w:rsidR="00360592" w:rsidRPr="00E17D3D" w:rsidTr="004B3A6A">
        <w:tc>
          <w:tcPr>
            <w:tcW w:w="817" w:type="dxa"/>
            <w:vAlign w:val="center"/>
          </w:tcPr>
          <w:p w:rsidR="00360592" w:rsidRPr="00E17D3D" w:rsidRDefault="00360592" w:rsidP="004B3A6A">
            <w:pPr>
              <w:jc w:val="center"/>
              <w:rPr>
                <w:b/>
                <w:sz w:val="24"/>
                <w:lang w:val="en-US"/>
              </w:rPr>
            </w:pPr>
            <w:r w:rsidRPr="00E17D3D">
              <w:rPr>
                <w:b/>
                <w:sz w:val="24"/>
                <w:lang w:val="en-US"/>
              </w:rPr>
              <w:t>STT</w:t>
            </w:r>
          </w:p>
        </w:tc>
        <w:tc>
          <w:tcPr>
            <w:tcW w:w="7513" w:type="dxa"/>
          </w:tcPr>
          <w:p w:rsidR="00360592" w:rsidRPr="00E17D3D" w:rsidRDefault="00360592">
            <w:pPr>
              <w:rPr>
                <w:b/>
                <w:sz w:val="24"/>
                <w:lang w:val="en-US"/>
              </w:rPr>
            </w:pPr>
            <w:r w:rsidRPr="00E17D3D">
              <w:rPr>
                <w:b/>
                <w:sz w:val="24"/>
                <w:lang w:val="en-US"/>
              </w:rPr>
              <w:t>Đề xuất</w:t>
            </w:r>
          </w:p>
        </w:tc>
        <w:tc>
          <w:tcPr>
            <w:tcW w:w="5948" w:type="dxa"/>
          </w:tcPr>
          <w:p w:rsidR="00360592" w:rsidRPr="00E17D3D" w:rsidRDefault="00360592">
            <w:pPr>
              <w:rPr>
                <w:b/>
                <w:sz w:val="24"/>
                <w:lang w:val="en-US"/>
              </w:rPr>
            </w:pPr>
            <w:r w:rsidRPr="00E17D3D">
              <w:rPr>
                <w:b/>
                <w:sz w:val="24"/>
                <w:lang w:val="en-US"/>
              </w:rPr>
              <w:t>Ý kiến của CQQL</w:t>
            </w:r>
          </w:p>
        </w:tc>
      </w:tr>
      <w:tr w:rsidR="00BC6961" w:rsidRPr="000A094E" w:rsidTr="00C61A12">
        <w:trPr>
          <w:trHeight w:val="1758"/>
        </w:trPr>
        <w:tc>
          <w:tcPr>
            <w:tcW w:w="817" w:type="dxa"/>
            <w:vAlign w:val="center"/>
          </w:tcPr>
          <w:p w:rsidR="00BC6961" w:rsidRPr="00E17D3D" w:rsidRDefault="00BC6961" w:rsidP="004B3A6A">
            <w:pPr>
              <w:jc w:val="center"/>
              <w:rPr>
                <w:b/>
                <w:sz w:val="24"/>
                <w:lang w:val="en-US"/>
              </w:rPr>
            </w:pPr>
            <w:r w:rsidRPr="00E17D3D">
              <w:rPr>
                <w:b/>
                <w:sz w:val="24"/>
                <w:lang w:val="en-US"/>
              </w:rPr>
              <w:t>1</w:t>
            </w:r>
          </w:p>
        </w:tc>
        <w:tc>
          <w:tcPr>
            <w:tcW w:w="7513" w:type="dxa"/>
          </w:tcPr>
          <w:p w:rsidR="00BC6961" w:rsidRPr="00E17D3D" w:rsidRDefault="00BC6961" w:rsidP="00C92830">
            <w:pPr>
              <w:rPr>
                <w:b/>
                <w:sz w:val="24"/>
                <w:lang w:val="en-US"/>
              </w:rPr>
            </w:pPr>
            <w:r w:rsidRPr="00E17D3D">
              <w:rPr>
                <w:b/>
                <w:sz w:val="24"/>
                <w:lang w:val="en-US"/>
              </w:rPr>
              <w:t xml:space="preserve">VNPT: </w:t>
            </w:r>
          </w:p>
          <w:p w:rsidR="00BC6961" w:rsidRPr="00E17D3D" w:rsidRDefault="00BC6961" w:rsidP="00CE29FF">
            <w:pPr>
              <w:rPr>
                <w:sz w:val="24"/>
                <w:lang w:val="en-US"/>
              </w:rPr>
            </w:pPr>
            <w:r w:rsidRPr="00E17D3D">
              <w:rPr>
                <w:sz w:val="24"/>
                <w:lang w:val="en-AU"/>
              </w:rPr>
              <w:t>Đề nghị bổ sung nội dung quy định rõ về giới hạn lượng phổ tần tối đa mà mỗi doanh nghiệp được phép sử dụng, đề xuất quy định số lượng khối băng tần tối đa mỗi doanh nghiệp đăng ký tham gia đấu giá không quá 1/3 (một phần ba) tổng số khối băng tần đấu giá để bảo đảm tài nguyên không tập trung vào 1, 2 doanh nghiệp gây ra sự bất bình đẳng trên thị trường.</w:t>
            </w:r>
          </w:p>
        </w:tc>
        <w:tc>
          <w:tcPr>
            <w:tcW w:w="5948" w:type="dxa"/>
          </w:tcPr>
          <w:p w:rsidR="00DE29C1" w:rsidRPr="00E17D3D" w:rsidRDefault="00DE29C1" w:rsidP="00DE29C1">
            <w:pPr>
              <w:rPr>
                <w:sz w:val="24"/>
                <w:lang w:val="en-US"/>
              </w:rPr>
            </w:pPr>
          </w:p>
          <w:p w:rsidR="00BC6961" w:rsidRPr="00E17D3D" w:rsidRDefault="00DE29C1" w:rsidP="00DE29C1">
            <w:pPr>
              <w:rPr>
                <w:sz w:val="24"/>
                <w:lang w:val="en-US"/>
              </w:rPr>
            </w:pPr>
            <w:r w:rsidRPr="00E17D3D">
              <w:rPr>
                <w:sz w:val="24"/>
                <w:lang w:val="en-US"/>
              </w:rPr>
              <w:t>Số lượng khối băng tần mà doanh nghiệp được phép mua quyền sử dụng tại cuộc đấu giá thực hiện theo quy hoạch tần số vô tuyến điện và quy định khác về tần số vô tuyến điện.</w:t>
            </w:r>
          </w:p>
        </w:tc>
      </w:tr>
      <w:tr w:rsidR="00845D2F" w:rsidRPr="000A094E" w:rsidTr="004B3A6A">
        <w:trPr>
          <w:trHeight w:val="274"/>
        </w:trPr>
        <w:tc>
          <w:tcPr>
            <w:tcW w:w="817" w:type="dxa"/>
            <w:vAlign w:val="center"/>
          </w:tcPr>
          <w:p w:rsidR="00845D2F" w:rsidRPr="00E17D3D" w:rsidRDefault="00845D2F" w:rsidP="004B3A6A">
            <w:pPr>
              <w:jc w:val="center"/>
              <w:rPr>
                <w:b/>
                <w:sz w:val="24"/>
                <w:lang w:val="en-US"/>
              </w:rPr>
            </w:pPr>
            <w:r w:rsidRPr="00E17D3D">
              <w:rPr>
                <w:b/>
                <w:sz w:val="24"/>
                <w:lang w:val="en-US"/>
              </w:rPr>
              <w:t>2</w:t>
            </w:r>
          </w:p>
        </w:tc>
        <w:tc>
          <w:tcPr>
            <w:tcW w:w="7513" w:type="dxa"/>
            <w:tcBorders>
              <w:bottom w:val="single" w:sz="4" w:space="0" w:color="auto"/>
            </w:tcBorders>
          </w:tcPr>
          <w:p w:rsidR="00845D2F" w:rsidRPr="00E17D3D" w:rsidRDefault="00845D2F" w:rsidP="00C92830">
            <w:pPr>
              <w:rPr>
                <w:b/>
                <w:sz w:val="24"/>
                <w:lang w:val="en-US"/>
              </w:rPr>
            </w:pPr>
            <w:r w:rsidRPr="00E17D3D">
              <w:rPr>
                <w:b/>
                <w:sz w:val="24"/>
                <w:lang w:val="en-US"/>
              </w:rPr>
              <w:t>Vietnamobile:</w:t>
            </w:r>
          </w:p>
          <w:p w:rsidR="00845D2F" w:rsidRPr="00E17D3D" w:rsidRDefault="00845D2F" w:rsidP="00845D2F">
            <w:pPr>
              <w:rPr>
                <w:sz w:val="24"/>
                <w:lang w:val="en-US"/>
              </w:rPr>
            </w:pPr>
            <w:r w:rsidRPr="00E17D3D">
              <w:rPr>
                <w:sz w:val="24"/>
                <w:lang w:val="en-US"/>
              </w:rPr>
              <w:t>- Mức thu tiền cấp quyền sử dụng tần số vô tuyến điện như quy định tại dự thảo Nghị định cần được làm rõ đã bao gồm hai loại phí được quy định tại Thông tư 265/2016/TT-BTC chưa. Bởi vì, căn cứ Thông tư 265/2016/TT-BTC của Bộ Tài chính ngày 14 tháng 11 năm 2016 quy định về mức thu, chế độ thu, nộp, quản lý và sử dụng lệ phí cấp phép sử dụng tần số vô tuyến điện và phí sử dụng tần số vô tuyến điện thì lệ phí cấp giấy phép sử dụng tần số vô tuyến điện và phí sử dụng tần số vô tuyến điện bao gồm 2 phần:</w:t>
            </w:r>
          </w:p>
          <w:p w:rsidR="00845D2F" w:rsidRPr="00E17D3D" w:rsidRDefault="00845D2F" w:rsidP="00845D2F">
            <w:pPr>
              <w:rPr>
                <w:sz w:val="24"/>
                <w:lang w:val="en-US"/>
              </w:rPr>
            </w:pPr>
            <w:r w:rsidRPr="00E17D3D">
              <w:rPr>
                <w:sz w:val="24"/>
                <w:lang w:val="en-US"/>
              </w:rPr>
              <w:t>- Lệ phí cấp giấy phép sử dụng tần số vô tuyến điện (thu 1 lần); và</w:t>
            </w:r>
          </w:p>
          <w:p w:rsidR="00845D2F" w:rsidRPr="00E17D3D" w:rsidRDefault="00845D2F" w:rsidP="00845D2F">
            <w:pPr>
              <w:rPr>
                <w:sz w:val="24"/>
                <w:lang w:val="en-US"/>
              </w:rPr>
            </w:pPr>
            <w:r w:rsidRPr="00E17D3D">
              <w:rPr>
                <w:sz w:val="24"/>
                <w:lang w:val="en-US"/>
              </w:rPr>
              <w:t>- Phí sử dụng tần số vô tuyến điện (thu cho mỗi 12 tháng).</w:t>
            </w:r>
          </w:p>
        </w:tc>
        <w:tc>
          <w:tcPr>
            <w:tcW w:w="5948" w:type="dxa"/>
            <w:tcBorders>
              <w:bottom w:val="single" w:sz="4" w:space="0" w:color="auto"/>
            </w:tcBorders>
          </w:tcPr>
          <w:p w:rsidR="00DE29C1" w:rsidRPr="00E17D3D" w:rsidRDefault="008A7F5C" w:rsidP="00DE29C1">
            <w:pPr>
              <w:rPr>
                <w:sz w:val="24"/>
                <w:lang w:val="en-US"/>
              </w:rPr>
            </w:pPr>
            <w:r w:rsidRPr="00E17D3D">
              <w:rPr>
                <w:sz w:val="24"/>
                <w:lang w:val="en-US"/>
              </w:rPr>
              <w:t xml:space="preserve">Khoản </w:t>
            </w:r>
            <w:r w:rsidR="00DE29C1" w:rsidRPr="00E17D3D">
              <w:rPr>
                <w:sz w:val="24"/>
                <w:lang w:val="en-US"/>
              </w:rPr>
              <w:t>thu tiền sử dụng tần số vô tuyến điện quy định tại dự thảo Nghị định không bao gồm hai loại phí được quy định tại Thông tư 265/2016/TT-BTC.</w:t>
            </w:r>
            <w:r w:rsidR="00EE034B" w:rsidRPr="00E17D3D">
              <w:rPr>
                <w:sz w:val="24"/>
                <w:lang w:val="en-US"/>
              </w:rPr>
              <w:t xml:space="preserve"> Cụ thể, dự thảo quy định:</w:t>
            </w:r>
          </w:p>
          <w:p w:rsidR="00DE29C1" w:rsidRPr="00E17D3D" w:rsidRDefault="00DE29C1" w:rsidP="00DE29C1">
            <w:pPr>
              <w:rPr>
                <w:sz w:val="24"/>
                <w:lang w:val="en-US"/>
              </w:rPr>
            </w:pPr>
            <w:r w:rsidRPr="00E17D3D">
              <w:rPr>
                <w:sz w:val="24"/>
                <w:lang w:val="en-US"/>
              </w:rPr>
              <w:t>- Nhà nước chỉ thực hiện việc thu tiền sử dụng tần số vô tuyến điện (tiền sử dụng băng tần) đối với doanh nghiệp được cấp phép sử dụng băng tần cho hệ thống thông tin di động mặt đất công cộng.</w:t>
            </w:r>
          </w:p>
          <w:p w:rsidR="00DE29C1" w:rsidRPr="00E17D3D" w:rsidRDefault="00DE29C1" w:rsidP="00DE29C1">
            <w:pPr>
              <w:rPr>
                <w:sz w:val="24"/>
                <w:lang w:val="en-US"/>
              </w:rPr>
            </w:pPr>
            <w:r w:rsidRPr="00E17D3D">
              <w:rPr>
                <w:sz w:val="24"/>
                <w:lang w:val="en-US"/>
              </w:rPr>
              <w:t>- Tiền sử dụng băng tần không bao gồm phí sử dụng tần số vô tuyến điện và lệ phí cấp giấy phép sử dụng tần số vô tuyến điện.</w:t>
            </w:r>
          </w:p>
          <w:p w:rsidR="00DE29C1" w:rsidRPr="00E17D3D" w:rsidRDefault="00DE29C1" w:rsidP="00DE29C1">
            <w:pPr>
              <w:rPr>
                <w:sz w:val="24"/>
                <w:lang w:val="en-US"/>
              </w:rPr>
            </w:pPr>
            <w:r w:rsidRPr="00E17D3D">
              <w:rPr>
                <w:sz w:val="24"/>
                <w:lang w:val="en-US"/>
              </w:rPr>
              <w:t>Lý do: Điều 121 Luật Quản lý, sử dụng tài sản công quy định những khoản thu riêng biệt đối với tài nguyên:</w:t>
            </w:r>
          </w:p>
          <w:p w:rsidR="00DE29C1" w:rsidRPr="00E17D3D" w:rsidRDefault="00DE29C1" w:rsidP="00DE29C1">
            <w:pPr>
              <w:rPr>
                <w:sz w:val="24"/>
                <w:lang w:val="en-US"/>
              </w:rPr>
            </w:pPr>
            <w:r w:rsidRPr="00E17D3D">
              <w:rPr>
                <w:sz w:val="24"/>
                <w:lang w:val="en-US"/>
              </w:rPr>
              <w:t>1. Thu tiền cấp quyền khai thác tài nguyên, thu tiền sử dụng tài nguyên, tiền thuê tài nguyên.</w:t>
            </w:r>
          </w:p>
          <w:p w:rsidR="00DE29C1" w:rsidRPr="00E17D3D" w:rsidRDefault="00DE29C1" w:rsidP="00DE29C1">
            <w:pPr>
              <w:rPr>
                <w:sz w:val="24"/>
                <w:lang w:val="en-US"/>
              </w:rPr>
            </w:pPr>
            <w:r w:rsidRPr="00E17D3D">
              <w:rPr>
                <w:sz w:val="24"/>
                <w:lang w:val="en-US"/>
              </w:rPr>
              <w:t>2. Thu thuế tài nguyên.</w:t>
            </w:r>
          </w:p>
          <w:p w:rsidR="00DE29C1" w:rsidRPr="00E17D3D" w:rsidRDefault="00DE29C1" w:rsidP="00DE29C1">
            <w:pPr>
              <w:rPr>
                <w:sz w:val="24"/>
                <w:lang w:val="en-US"/>
              </w:rPr>
            </w:pPr>
            <w:r w:rsidRPr="00E17D3D">
              <w:rPr>
                <w:sz w:val="24"/>
                <w:lang w:val="en-US"/>
              </w:rPr>
              <w:t>3. Thu phí, lệ phí trong quản lý, sử dụng, khai thác tài nguyên.</w:t>
            </w:r>
          </w:p>
          <w:p w:rsidR="00323845" w:rsidRPr="00E17D3D" w:rsidRDefault="00DE29C1" w:rsidP="00DE29C1">
            <w:pPr>
              <w:rPr>
                <w:sz w:val="24"/>
                <w:lang w:val="en-US"/>
              </w:rPr>
            </w:pPr>
            <w:r w:rsidRPr="00E17D3D">
              <w:rPr>
                <w:sz w:val="24"/>
                <w:lang w:val="en-US"/>
              </w:rPr>
              <w:t>4. Khai thác nguồn lực tài chính khác từ tài nguyên theo quy định của pháp luật.</w:t>
            </w:r>
          </w:p>
        </w:tc>
      </w:tr>
      <w:tr w:rsidR="00323845" w:rsidRPr="00E17D3D" w:rsidTr="004B3A6A">
        <w:trPr>
          <w:trHeight w:val="541"/>
        </w:trPr>
        <w:tc>
          <w:tcPr>
            <w:tcW w:w="817" w:type="dxa"/>
            <w:vMerge w:val="restart"/>
            <w:tcBorders>
              <w:right w:val="single" w:sz="4" w:space="0" w:color="auto"/>
            </w:tcBorders>
            <w:vAlign w:val="center"/>
          </w:tcPr>
          <w:p w:rsidR="00323845" w:rsidRPr="00E17D3D" w:rsidRDefault="00323845" w:rsidP="004B3A6A">
            <w:pPr>
              <w:jc w:val="center"/>
              <w:rPr>
                <w:b/>
                <w:sz w:val="24"/>
                <w:lang w:val="en-US"/>
              </w:rPr>
            </w:pPr>
            <w:r w:rsidRPr="00E17D3D">
              <w:rPr>
                <w:b/>
                <w:sz w:val="24"/>
                <w:lang w:val="en-US"/>
              </w:rPr>
              <w:t>3</w:t>
            </w:r>
          </w:p>
        </w:tc>
        <w:tc>
          <w:tcPr>
            <w:tcW w:w="7513" w:type="dxa"/>
            <w:tcBorders>
              <w:top w:val="single" w:sz="4" w:space="0" w:color="auto"/>
              <w:left w:val="single" w:sz="4" w:space="0" w:color="auto"/>
              <w:right w:val="single" w:sz="4" w:space="0" w:color="auto"/>
            </w:tcBorders>
          </w:tcPr>
          <w:p w:rsidR="00323845" w:rsidRPr="00E17D3D" w:rsidRDefault="00323845" w:rsidP="000F440B">
            <w:pPr>
              <w:rPr>
                <w:b/>
                <w:sz w:val="24"/>
                <w:lang w:val="en-US"/>
              </w:rPr>
            </w:pPr>
            <w:r w:rsidRPr="00E17D3D">
              <w:rPr>
                <w:b/>
                <w:sz w:val="24"/>
                <w:lang w:val="en-US"/>
              </w:rPr>
              <w:t>GTEL:</w:t>
            </w:r>
          </w:p>
        </w:tc>
        <w:tc>
          <w:tcPr>
            <w:tcW w:w="5948" w:type="dxa"/>
            <w:tcBorders>
              <w:top w:val="single" w:sz="4" w:space="0" w:color="auto"/>
              <w:left w:val="single" w:sz="4" w:space="0" w:color="auto"/>
              <w:right w:val="single" w:sz="4" w:space="0" w:color="auto"/>
            </w:tcBorders>
          </w:tcPr>
          <w:p w:rsidR="00323845" w:rsidRPr="00E17D3D" w:rsidRDefault="00323845" w:rsidP="00845D2F">
            <w:pPr>
              <w:rPr>
                <w:sz w:val="24"/>
                <w:lang w:val="en-US"/>
              </w:rPr>
            </w:pPr>
          </w:p>
        </w:tc>
      </w:tr>
      <w:tr w:rsidR="00323845" w:rsidRPr="000A094E" w:rsidTr="004B3A6A">
        <w:trPr>
          <w:trHeight w:val="690"/>
        </w:trPr>
        <w:tc>
          <w:tcPr>
            <w:tcW w:w="817" w:type="dxa"/>
            <w:vMerge/>
            <w:tcBorders>
              <w:right w:val="single" w:sz="4" w:space="0" w:color="auto"/>
            </w:tcBorders>
            <w:vAlign w:val="center"/>
          </w:tcPr>
          <w:p w:rsidR="00323845" w:rsidRPr="00E17D3D" w:rsidRDefault="00323845" w:rsidP="004B3A6A">
            <w:pPr>
              <w:jc w:val="center"/>
              <w:rPr>
                <w:b/>
                <w:sz w:val="24"/>
                <w:lang w:val="en-US"/>
              </w:rPr>
            </w:pPr>
          </w:p>
        </w:tc>
        <w:tc>
          <w:tcPr>
            <w:tcW w:w="7513" w:type="dxa"/>
            <w:tcBorders>
              <w:left w:val="single" w:sz="4" w:space="0" w:color="auto"/>
            </w:tcBorders>
          </w:tcPr>
          <w:p w:rsidR="00323845" w:rsidRPr="00E17D3D" w:rsidRDefault="00323845" w:rsidP="000F440B">
            <w:pPr>
              <w:rPr>
                <w:b/>
                <w:sz w:val="24"/>
                <w:lang w:val="en-US"/>
              </w:rPr>
            </w:pPr>
            <w:r w:rsidRPr="00E17D3D">
              <w:rPr>
                <w:sz w:val="24"/>
                <w:lang w:val="en-US"/>
              </w:rPr>
              <w:t>- Cần qui định rõ các chi phí giữa Luật Viễn thông và Luật Tần số, tránh để Doanh nghiệp nộp phí chồng phí.</w:t>
            </w:r>
          </w:p>
        </w:tc>
        <w:tc>
          <w:tcPr>
            <w:tcW w:w="5948" w:type="dxa"/>
            <w:tcBorders>
              <w:right w:val="single" w:sz="4" w:space="0" w:color="auto"/>
            </w:tcBorders>
          </w:tcPr>
          <w:p w:rsidR="00323845" w:rsidRPr="00E17D3D" w:rsidRDefault="00DE29C1">
            <w:pPr>
              <w:rPr>
                <w:sz w:val="24"/>
                <w:lang w:val="en-US"/>
              </w:rPr>
            </w:pPr>
            <w:r w:rsidRPr="00E17D3D">
              <w:rPr>
                <w:sz w:val="24"/>
                <w:lang w:val="en-US"/>
              </w:rPr>
              <w:t>Tiếp thu. Làm rõ nội dung trong báo cáo Chính phủ.</w:t>
            </w:r>
          </w:p>
        </w:tc>
      </w:tr>
      <w:tr w:rsidR="00323845" w:rsidRPr="000A094E" w:rsidTr="004B3A6A">
        <w:trPr>
          <w:trHeight w:val="1835"/>
        </w:trPr>
        <w:tc>
          <w:tcPr>
            <w:tcW w:w="817" w:type="dxa"/>
            <w:vMerge/>
            <w:tcBorders>
              <w:right w:val="single" w:sz="4" w:space="0" w:color="auto"/>
            </w:tcBorders>
            <w:vAlign w:val="center"/>
          </w:tcPr>
          <w:p w:rsidR="00323845" w:rsidRPr="00E17D3D" w:rsidRDefault="00323845" w:rsidP="004B3A6A">
            <w:pPr>
              <w:jc w:val="center"/>
              <w:rPr>
                <w:b/>
                <w:sz w:val="24"/>
                <w:lang w:val="en-US"/>
              </w:rPr>
            </w:pPr>
          </w:p>
        </w:tc>
        <w:tc>
          <w:tcPr>
            <w:tcW w:w="7513" w:type="dxa"/>
            <w:tcBorders>
              <w:left w:val="single" w:sz="4" w:space="0" w:color="auto"/>
            </w:tcBorders>
          </w:tcPr>
          <w:p w:rsidR="00323845" w:rsidRPr="00E17D3D" w:rsidRDefault="00323845" w:rsidP="000F440B">
            <w:pPr>
              <w:rPr>
                <w:sz w:val="24"/>
                <w:lang w:val="en-US"/>
              </w:rPr>
            </w:pPr>
            <w:r w:rsidRPr="00E17D3D">
              <w:rPr>
                <w:sz w:val="24"/>
                <w:lang w:val="en-US"/>
              </w:rPr>
              <w:t>- Để có nhiều lựa chọn cho doanh nghiệp, đề nghị đấu giá nhiều băng tần cùng 1 đợt đấu giá chứ không qui định theo từng thời kỳ.</w:t>
            </w:r>
          </w:p>
        </w:tc>
        <w:tc>
          <w:tcPr>
            <w:tcW w:w="5948" w:type="dxa"/>
            <w:tcBorders>
              <w:right w:val="single" w:sz="4" w:space="0" w:color="auto"/>
            </w:tcBorders>
          </w:tcPr>
          <w:p w:rsidR="00DE29C1" w:rsidRPr="00E17D3D" w:rsidRDefault="00DE29C1" w:rsidP="00DE29C1">
            <w:pPr>
              <w:rPr>
                <w:sz w:val="24"/>
                <w:lang w:val="en-US"/>
              </w:rPr>
            </w:pPr>
            <w:r w:rsidRPr="00E17D3D">
              <w:rPr>
                <w:sz w:val="24"/>
                <w:lang w:val="en-US"/>
              </w:rPr>
              <w:t xml:space="preserve">Không thể quy định tại Nghị định mà phải căn cứ thực tế, độ sẵn sàng, độ sạch của băng tần. </w:t>
            </w:r>
          </w:p>
          <w:p w:rsidR="00DE29C1" w:rsidRPr="00E17D3D" w:rsidRDefault="00DE29C1" w:rsidP="00DE29C1">
            <w:pPr>
              <w:rPr>
                <w:sz w:val="24"/>
                <w:lang w:val="en-US"/>
              </w:rPr>
            </w:pPr>
            <w:r w:rsidRPr="00E17D3D">
              <w:rPr>
                <w:sz w:val="24"/>
                <w:lang w:val="en-US"/>
              </w:rPr>
              <w:t xml:space="preserve">Lý do: </w:t>
            </w:r>
          </w:p>
          <w:p w:rsidR="00DE29C1" w:rsidRPr="00E17D3D" w:rsidRDefault="00DE29C1" w:rsidP="00DE29C1">
            <w:pPr>
              <w:rPr>
                <w:sz w:val="24"/>
                <w:lang w:val="en-US"/>
              </w:rPr>
            </w:pPr>
            <w:r w:rsidRPr="00E17D3D">
              <w:rPr>
                <w:sz w:val="24"/>
                <w:lang w:val="en-US"/>
              </w:rPr>
              <w:t>Điểm c khoản 3 Điều 18 Luật Tần số vô tuyến điện đã quy định rõ: "Thủ tướng Chính phủ quy định chi tiết về đấu giá quyền sử dụng tần số vô tuyến điện, quyết định băng tần, kênh tần số được đấu giá, thi tuyển quyền sử dụng tần số vô tuyến điện trong từng thời kỳ".</w:t>
            </w:r>
          </w:p>
          <w:p w:rsidR="00323845" w:rsidRPr="00E17D3D" w:rsidRDefault="00DE29C1" w:rsidP="00DE29C1">
            <w:pPr>
              <w:rPr>
                <w:sz w:val="24"/>
                <w:lang w:val="en-US"/>
              </w:rPr>
            </w:pPr>
            <w:r w:rsidRPr="00E17D3D">
              <w:rPr>
                <w:sz w:val="24"/>
                <w:lang w:val="en-US"/>
              </w:rPr>
              <w:t>Bộ trưởng Bộ Thông tin và Truyền thông trình Thủ tướng Chính phủ  xem xét, quyết định danh mục băng tần được đấu giá quyền sử dụng tần số vô tuyến điện theo quy định tại điểm a, Khoản 3 Điều 18 Luật Tần số vô tuyến điện năm 2009 và tổ chức đấu giá theo quy định của Luật Đấu giá tài sản và các quy định tại Nghị định này.</w:t>
            </w:r>
          </w:p>
        </w:tc>
      </w:tr>
      <w:tr w:rsidR="00323845" w:rsidRPr="000A094E" w:rsidTr="00C61A12">
        <w:trPr>
          <w:trHeight w:val="1155"/>
        </w:trPr>
        <w:tc>
          <w:tcPr>
            <w:tcW w:w="817" w:type="dxa"/>
            <w:vMerge/>
            <w:tcBorders>
              <w:right w:val="single" w:sz="4" w:space="0" w:color="auto"/>
            </w:tcBorders>
            <w:vAlign w:val="center"/>
          </w:tcPr>
          <w:p w:rsidR="00323845" w:rsidRPr="00E17D3D" w:rsidRDefault="00323845" w:rsidP="004B3A6A">
            <w:pPr>
              <w:jc w:val="center"/>
              <w:rPr>
                <w:b/>
                <w:sz w:val="24"/>
                <w:lang w:val="en-US"/>
              </w:rPr>
            </w:pPr>
          </w:p>
        </w:tc>
        <w:tc>
          <w:tcPr>
            <w:tcW w:w="7513" w:type="dxa"/>
            <w:tcBorders>
              <w:left w:val="single" w:sz="4" w:space="0" w:color="auto"/>
            </w:tcBorders>
          </w:tcPr>
          <w:p w:rsidR="00323845" w:rsidRPr="00E17D3D" w:rsidRDefault="00323845" w:rsidP="000F440B">
            <w:pPr>
              <w:rPr>
                <w:sz w:val="24"/>
                <w:lang w:val="en-US"/>
              </w:rPr>
            </w:pPr>
            <w:r w:rsidRPr="00E17D3D">
              <w:rPr>
                <w:sz w:val="24"/>
                <w:lang w:val="en-US"/>
              </w:rPr>
              <w:t>- Chuyển nhượng băng tần: Việc quy định chuyển nhượng linh hoạt để tránh lãng phí tài nguyên khi doanh nghiệp không có nhu cầu sử dụng.</w:t>
            </w:r>
          </w:p>
        </w:tc>
        <w:tc>
          <w:tcPr>
            <w:tcW w:w="5948" w:type="dxa"/>
            <w:tcBorders>
              <w:right w:val="single" w:sz="4" w:space="0" w:color="auto"/>
            </w:tcBorders>
          </w:tcPr>
          <w:p w:rsidR="00323845" w:rsidRPr="00E17D3D" w:rsidRDefault="00DE29C1">
            <w:pPr>
              <w:rPr>
                <w:sz w:val="24"/>
                <w:lang w:val="en-US"/>
              </w:rPr>
            </w:pPr>
            <w:r w:rsidRPr="00E17D3D">
              <w:rPr>
                <w:sz w:val="24"/>
                <w:lang w:val="en-US"/>
              </w:rPr>
              <w:t>Để quản lý thị trường viễn thông ổn định, không khuyến khích việc chuyển nhượng, mua bán đầu cơ tần số, dự thảo chỉ cho phép chuyển nhượng toàn bộ các khối băng tần trúng đấu giá và không được sớm hơn 05 năm.</w:t>
            </w:r>
          </w:p>
        </w:tc>
      </w:tr>
      <w:tr w:rsidR="00323845" w:rsidRPr="000A094E" w:rsidTr="004B3A6A">
        <w:trPr>
          <w:trHeight w:val="1379"/>
        </w:trPr>
        <w:tc>
          <w:tcPr>
            <w:tcW w:w="817" w:type="dxa"/>
            <w:vMerge/>
            <w:tcBorders>
              <w:right w:val="single" w:sz="4" w:space="0" w:color="auto"/>
            </w:tcBorders>
            <w:vAlign w:val="center"/>
          </w:tcPr>
          <w:p w:rsidR="00323845" w:rsidRPr="00E17D3D" w:rsidRDefault="00323845" w:rsidP="004B3A6A">
            <w:pPr>
              <w:jc w:val="center"/>
              <w:rPr>
                <w:b/>
                <w:sz w:val="24"/>
                <w:lang w:val="en-US"/>
              </w:rPr>
            </w:pPr>
          </w:p>
        </w:tc>
        <w:tc>
          <w:tcPr>
            <w:tcW w:w="7513" w:type="dxa"/>
            <w:tcBorders>
              <w:left w:val="single" w:sz="4" w:space="0" w:color="auto"/>
              <w:right w:val="single" w:sz="4" w:space="0" w:color="auto"/>
            </w:tcBorders>
          </w:tcPr>
          <w:p w:rsidR="00323845" w:rsidRPr="00E17D3D" w:rsidRDefault="00323845" w:rsidP="000F440B">
            <w:pPr>
              <w:rPr>
                <w:sz w:val="24"/>
                <w:lang w:val="en-US"/>
              </w:rPr>
            </w:pPr>
            <w:r w:rsidRPr="00E17D3D">
              <w:rPr>
                <w:sz w:val="24"/>
                <w:lang w:val="en-US"/>
              </w:rPr>
              <w:t>- Gtel Mobile là doanh nghiệp thuộc Bộ Công An, do vậy doanh nghiệp phải lập dự án báo cáo đầu tư để được Bộ phê duyệt. Do vậy, trong Nghị định cần qui định rõ phương án thực hiện đấu giá để được cơ quan quản lý phê duyệt.</w:t>
            </w:r>
          </w:p>
        </w:tc>
        <w:tc>
          <w:tcPr>
            <w:tcW w:w="5948" w:type="dxa"/>
            <w:tcBorders>
              <w:left w:val="single" w:sz="4" w:space="0" w:color="auto"/>
              <w:right w:val="single" w:sz="4" w:space="0" w:color="auto"/>
            </w:tcBorders>
          </w:tcPr>
          <w:p w:rsidR="00323845" w:rsidRPr="00E17D3D" w:rsidRDefault="00DE29C1" w:rsidP="000F440B">
            <w:pPr>
              <w:rPr>
                <w:sz w:val="24"/>
                <w:lang w:val="en-US"/>
              </w:rPr>
            </w:pPr>
            <w:r w:rsidRPr="00E17D3D">
              <w:rPr>
                <w:sz w:val="24"/>
                <w:lang w:val="en-US"/>
              </w:rPr>
              <w:t>Nghị định chỉ quy định về mặt nguyên tắc áp dụng. Đối với từng cuộc đấu giá sẽ có phương án thực hiện đấu giá cụ thể.</w:t>
            </w:r>
          </w:p>
        </w:tc>
      </w:tr>
      <w:tr w:rsidR="007A0BCB" w:rsidRPr="000A094E" w:rsidTr="00BE74EA">
        <w:trPr>
          <w:trHeight w:val="274"/>
        </w:trPr>
        <w:tc>
          <w:tcPr>
            <w:tcW w:w="817" w:type="dxa"/>
            <w:vMerge w:val="restart"/>
            <w:tcBorders>
              <w:right w:val="single" w:sz="4" w:space="0" w:color="auto"/>
            </w:tcBorders>
            <w:vAlign w:val="center"/>
          </w:tcPr>
          <w:p w:rsidR="007A0BCB" w:rsidRPr="00E17D3D" w:rsidRDefault="00F25A4F" w:rsidP="004B3A6A">
            <w:pPr>
              <w:jc w:val="center"/>
              <w:rPr>
                <w:b/>
                <w:sz w:val="24"/>
                <w:lang w:val="en-US"/>
              </w:rPr>
            </w:pPr>
            <w:r w:rsidRPr="00E17D3D">
              <w:rPr>
                <w:b/>
                <w:sz w:val="24"/>
                <w:lang w:val="en-US"/>
              </w:rPr>
              <w:t>4</w:t>
            </w:r>
          </w:p>
        </w:tc>
        <w:tc>
          <w:tcPr>
            <w:tcW w:w="7513" w:type="dxa"/>
            <w:tcBorders>
              <w:left w:val="single" w:sz="4" w:space="0" w:color="auto"/>
              <w:right w:val="single" w:sz="4" w:space="0" w:color="auto"/>
            </w:tcBorders>
          </w:tcPr>
          <w:p w:rsidR="007A0BCB" w:rsidRPr="00E17D3D" w:rsidRDefault="007A0BCB" w:rsidP="00323845">
            <w:pPr>
              <w:rPr>
                <w:b/>
                <w:sz w:val="24"/>
                <w:lang w:val="vi-VN"/>
              </w:rPr>
            </w:pPr>
            <w:r w:rsidRPr="00E17D3D">
              <w:rPr>
                <w:b/>
                <w:sz w:val="24"/>
                <w:lang w:val="vi-VN"/>
              </w:rPr>
              <w:t>Đề nghị hướng dẫn về phê duyệt chủ trương, vốn đối với doanh nghiệp nhà nước tham gia đấu giá:</w:t>
            </w:r>
          </w:p>
          <w:p w:rsidR="001F407A" w:rsidRPr="00E17D3D" w:rsidRDefault="001F407A" w:rsidP="001F407A">
            <w:pPr>
              <w:rPr>
                <w:bCs/>
                <w:sz w:val="24"/>
                <w:lang w:val="vi-VN"/>
              </w:rPr>
            </w:pPr>
            <w:r w:rsidRPr="00E17D3D">
              <w:rPr>
                <w:b/>
                <w:sz w:val="24"/>
                <w:lang w:val="vi-VN"/>
              </w:rPr>
              <w:t>VIETTEL</w:t>
            </w:r>
            <w:r w:rsidRPr="00E17D3D">
              <w:rPr>
                <w:bCs/>
                <w:sz w:val="24"/>
                <w:lang w:val="vi-VN"/>
              </w:rPr>
              <w:t xml:space="preserve">: là doanh nghiệp 100% vốn nhà nước nên việc quản lý sử dụng vốn và thực hiện đầu tư mua tài sản phải tuân thủ các quy định pháp luật về quản lý doanh nghiệp nhà nước (Luật Quản lý, sử dụng vốn nhà nước đầu tư vào sản xuất, kinh doanh tại doanh nghiệp; Luật Đầu tư; Luật Xây dựng và các văn bản pháp luật liên quan). Theo đó, khi thực hiện đầu tư mua sắm tài sản, VIETTEL cũng như các doanh nghiệp nhà nước khác phải thực hiện thủ tục lập dự án đầu tư và trình các cấp có thẩm quyền thẩm định, phê duyệt. Dự án bao gồm tổng mức đầu tư, trong đó có dự toán giá trị đầu tư tần số. Vướng mắc của VIETTEL nói riêng và các doanh nghiệp nhà nước </w:t>
            </w:r>
            <w:r w:rsidRPr="00E17D3D">
              <w:rPr>
                <w:bCs/>
                <w:sz w:val="24"/>
                <w:lang w:val="vi-VN"/>
              </w:rPr>
              <w:lastRenderedPageBreak/>
              <w:t>nói chung: Lập, thẩm định phê duyệt dự án đầu tư trước hay sau khi đấu giá vì:</w:t>
            </w:r>
          </w:p>
          <w:p w:rsidR="001F407A" w:rsidRPr="00E17D3D" w:rsidRDefault="001F407A" w:rsidP="001F407A">
            <w:pPr>
              <w:rPr>
                <w:bCs/>
                <w:sz w:val="24"/>
                <w:lang w:val="vi-VN"/>
              </w:rPr>
            </w:pPr>
            <w:r w:rsidRPr="00E17D3D">
              <w:rPr>
                <w:bCs/>
                <w:sz w:val="24"/>
                <w:lang w:val="vi-VN"/>
              </w:rPr>
              <w:t>- Lập, thẩm định, phê duyệt dự án trước khi đấu giá sẽ trải qua các trình tự, thời gian luật định. Theo Nghị định số 05/2018/NĐ-CP về Điều lệ tổ chức hoạt động của VIETTEL, trường hợp dự án đầu tư có giá trị trên mức vốn của dự án nhóm B, VIETTEL sẽ phải xin chấp thuận chủ trương đầu tư từ cơ quan đại diện chủ sở hữu Nhà nước (Bộ Quốc Phòng, Thủ tướng Chính phủ - tùy giá trị đầu tư của dự án) trước khi quyết định đầu tư và tham gia đấu giá.</w:t>
            </w:r>
          </w:p>
          <w:p w:rsidR="001F407A" w:rsidRPr="00E17D3D" w:rsidRDefault="001F407A" w:rsidP="001F407A">
            <w:pPr>
              <w:rPr>
                <w:bCs/>
                <w:sz w:val="24"/>
                <w:lang w:val="vi-VN"/>
              </w:rPr>
            </w:pPr>
            <w:r w:rsidRPr="00E17D3D">
              <w:rPr>
                <w:bCs/>
                <w:sz w:val="24"/>
                <w:lang w:val="vi-VN"/>
              </w:rPr>
              <w:t>- Trong khi đó, bản chất của hoạt động đấu giá là tổ chức tham gia đấu giá sẽ bảo mật tuyệt đối về giá tham gia đấu giá trong phiên đấu giá và việc trả giá còn tùy thuộc vào diễn biến của phiên đấu giá. Nếu thực hiện theo đúng trình tự, thủ tục xin chấp thuận đầu tư, VIETTEL sẽ có rủi ro lộ giá tham gia đấu giá hoặc việc trả giá không đúng với giá xin chấp thuận của cơ quan đại diện chủ sở hữu trước đó.</w:t>
            </w:r>
          </w:p>
          <w:p w:rsidR="007A0BCB" w:rsidRPr="00E17D3D" w:rsidRDefault="001F407A" w:rsidP="001F407A">
            <w:pPr>
              <w:rPr>
                <w:bCs/>
                <w:sz w:val="24"/>
                <w:lang w:val="vi-VN"/>
              </w:rPr>
            </w:pPr>
            <w:r w:rsidRPr="00E17D3D">
              <w:rPr>
                <w:bCs/>
                <w:sz w:val="24"/>
                <w:lang w:val="vi-VN"/>
              </w:rPr>
              <w:t>- Nếu lập, thẩm định, xin phê duyệt chủ trương và quyết định đầu tư sau khi tham gia đấu giá thì sẽ vi phạm các quy định của pháp luật vì khi đã quyết định bỏ giá tham gia đấu giá tức là đã quyết định mua, đầu tư nên lập, thẩm định, phê duyệt dự án sau khi đấu giá sẽ vi phạm các quy định của nhà nước về trình tự, thủ tục đầu tư. Bên cạnh đó, vẫn có thể xảy ra rủi ro dự án không được phê duyệt.</w:t>
            </w:r>
          </w:p>
        </w:tc>
        <w:tc>
          <w:tcPr>
            <w:tcW w:w="5948" w:type="dxa"/>
            <w:vMerge w:val="restart"/>
            <w:tcBorders>
              <w:left w:val="single" w:sz="4" w:space="0" w:color="auto"/>
              <w:right w:val="single" w:sz="4" w:space="0" w:color="auto"/>
            </w:tcBorders>
          </w:tcPr>
          <w:p w:rsidR="00DE29C1" w:rsidRPr="00E17D3D" w:rsidRDefault="00DE29C1" w:rsidP="00DE29C1">
            <w:pPr>
              <w:rPr>
                <w:sz w:val="24"/>
                <w:lang w:val="vi-VN"/>
              </w:rPr>
            </w:pPr>
            <w:r w:rsidRPr="00E17D3D">
              <w:rPr>
                <w:sz w:val="24"/>
                <w:lang w:val="vi-VN"/>
              </w:rPr>
              <w:lastRenderedPageBreak/>
              <w:t>Phạm vi của Nghị định hướng dẫn:</w:t>
            </w:r>
          </w:p>
          <w:p w:rsidR="00DE29C1" w:rsidRPr="00E17D3D" w:rsidRDefault="00DE29C1" w:rsidP="00DE29C1">
            <w:pPr>
              <w:rPr>
                <w:sz w:val="24"/>
                <w:lang w:val="vi-VN"/>
              </w:rPr>
            </w:pPr>
            <w:r w:rsidRPr="00E17D3D">
              <w:rPr>
                <w:sz w:val="24"/>
                <w:lang w:val="vi-VN"/>
              </w:rPr>
              <w:t xml:space="preserve">(1) Việc thu tiền sử dụng tần số vô tuyến điện, trong đó quy định về đối tượng thu; phương pháp, quy trình xác định, phê duyệt </w:t>
            </w:r>
            <w:r w:rsidR="00364A24" w:rsidRPr="00E17D3D">
              <w:rPr>
                <w:sz w:val="24"/>
                <w:lang w:val="vi-VN"/>
              </w:rPr>
              <w:t>mức thu</w:t>
            </w:r>
            <w:r w:rsidRPr="00E17D3D">
              <w:rPr>
                <w:sz w:val="24"/>
                <w:lang w:val="vi-VN"/>
              </w:rPr>
              <w:t xml:space="preserve"> tiền sử dụng tần số vô tuyến điện và phương thức thu tiền sử dụng tần số vô tuyến điện.</w:t>
            </w:r>
          </w:p>
          <w:p w:rsidR="00DE29C1" w:rsidRPr="00E17D3D" w:rsidRDefault="00DE29C1" w:rsidP="00DE29C1">
            <w:pPr>
              <w:rPr>
                <w:sz w:val="24"/>
                <w:lang w:val="vi-VN"/>
              </w:rPr>
            </w:pPr>
            <w:r w:rsidRPr="00E17D3D">
              <w:rPr>
                <w:sz w:val="24"/>
                <w:lang w:val="vi-VN"/>
              </w:rPr>
              <w:t>(2) Đấu giá, chuyển nhượng quyền sử dụng tần số vô tuyến điện áp dụng với băng tần.</w:t>
            </w:r>
          </w:p>
          <w:p w:rsidR="00DE29C1" w:rsidRPr="00E17D3D" w:rsidRDefault="00DE29C1" w:rsidP="00DE29C1">
            <w:pPr>
              <w:rPr>
                <w:sz w:val="24"/>
                <w:lang w:val="vi-VN"/>
              </w:rPr>
            </w:pPr>
            <w:r w:rsidRPr="00E17D3D">
              <w:rPr>
                <w:sz w:val="24"/>
                <w:lang w:val="vi-VN"/>
              </w:rPr>
              <w:t>Do đó, những nội dung hướng dẫn về thủ tục phê duyệt tham gia đấu giá đối với doanh nghiệp nhà nước thực hiện theo quy định Luật Quản lý, sử dụng vốn nhà nước đầu tư vào sản xuất, kinh doanh tại doanh nghiệp.</w:t>
            </w:r>
          </w:p>
          <w:p w:rsidR="00DE29C1" w:rsidRPr="00E17D3D" w:rsidRDefault="00DE29C1" w:rsidP="00DE29C1">
            <w:pPr>
              <w:rPr>
                <w:sz w:val="24"/>
                <w:lang w:val="vi-VN"/>
              </w:rPr>
            </w:pPr>
          </w:p>
          <w:p w:rsidR="007A0BCB" w:rsidRPr="00E17D3D" w:rsidRDefault="00DE29C1">
            <w:pPr>
              <w:rPr>
                <w:sz w:val="24"/>
                <w:lang w:val="vi-VN"/>
              </w:rPr>
            </w:pPr>
            <w:r w:rsidRPr="00E17D3D">
              <w:rPr>
                <w:sz w:val="24"/>
                <w:lang w:val="vi-VN"/>
              </w:rPr>
              <w:t xml:space="preserve">- Đề nghị các Bộ, cơ quan chủ quản doanh nghiệp Nhà nước lấy ý kiến </w:t>
            </w:r>
            <w:r w:rsidR="00674AE5" w:rsidRPr="00E17D3D">
              <w:rPr>
                <w:sz w:val="24"/>
                <w:lang w:val="vi-VN"/>
              </w:rPr>
              <w:t xml:space="preserve">các </w:t>
            </w:r>
            <w:r w:rsidRPr="00E17D3D">
              <w:rPr>
                <w:sz w:val="24"/>
                <w:lang w:val="vi-VN"/>
              </w:rPr>
              <w:t xml:space="preserve">Bộ Tài chính, </w:t>
            </w:r>
            <w:r w:rsidR="00674AE5" w:rsidRPr="00E17D3D">
              <w:rPr>
                <w:sz w:val="24"/>
                <w:lang w:val="vi-VN"/>
              </w:rPr>
              <w:t>Kế hoạch Đầu tư</w:t>
            </w:r>
            <w:r w:rsidRPr="00E17D3D">
              <w:rPr>
                <w:sz w:val="24"/>
                <w:lang w:val="vi-VN"/>
              </w:rPr>
              <w:t>.</w:t>
            </w:r>
          </w:p>
        </w:tc>
      </w:tr>
      <w:tr w:rsidR="007A0BCB" w:rsidRPr="000A094E" w:rsidTr="004B3A6A">
        <w:trPr>
          <w:trHeight w:val="1379"/>
        </w:trPr>
        <w:tc>
          <w:tcPr>
            <w:tcW w:w="817" w:type="dxa"/>
            <w:vMerge/>
            <w:tcBorders>
              <w:right w:val="single" w:sz="4" w:space="0" w:color="auto"/>
            </w:tcBorders>
            <w:vAlign w:val="center"/>
          </w:tcPr>
          <w:p w:rsidR="007A0BCB" w:rsidRPr="00E17D3D" w:rsidRDefault="007A0BCB" w:rsidP="004B3A6A">
            <w:pPr>
              <w:jc w:val="center"/>
              <w:rPr>
                <w:b/>
                <w:sz w:val="24"/>
                <w:lang w:val="vi-VN"/>
              </w:rPr>
            </w:pPr>
          </w:p>
        </w:tc>
        <w:tc>
          <w:tcPr>
            <w:tcW w:w="7513" w:type="dxa"/>
            <w:tcBorders>
              <w:left w:val="single" w:sz="4" w:space="0" w:color="auto"/>
              <w:bottom w:val="single" w:sz="4" w:space="0" w:color="auto"/>
              <w:right w:val="single" w:sz="4" w:space="0" w:color="auto"/>
            </w:tcBorders>
          </w:tcPr>
          <w:p w:rsidR="007A0BCB" w:rsidRPr="00E17D3D" w:rsidRDefault="007A0BCB" w:rsidP="007A0BCB">
            <w:pPr>
              <w:rPr>
                <w:bCs/>
                <w:sz w:val="24"/>
                <w:lang w:val="vi-VN"/>
              </w:rPr>
            </w:pPr>
            <w:r w:rsidRPr="00E17D3D">
              <w:rPr>
                <w:b/>
                <w:sz w:val="24"/>
                <w:lang w:val="vi-VN"/>
              </w:rPr>
              <w:t>VNPT</w:t>
            </w:r>
            <w:r w:rsidRPr="00E17D3D">
              <w:rPr>
                <w:bCs/>
                <w:sz w:val="24"/>
                <w:lang w:val="vi-VN"/>
              </w:rPr>
              <w:t>: Để triển khai việc đấu giá, đề nghị Bộ Thông tin và Truyền thông cho hướng dẫn cụ thể:</w:t>
            </w:r>
          </w:p>
          <w:p w:rsidR="007A0BCB" w:rsidRPr="00E17D3D" w:rsidRDefault="007A0BCB" w:rsidP="007A0BCB">
            <w:pPr>
              <w:rPr>
                <w:bCs/>
                <w:sz w:val="24"/>
                <w:lang w:val="vi-VN"/>
              </w:rPr>
            </w:pPr>
            <w:r w:rsidRPr="00E17D3D">
              <w:rPr>
                <w:bCs/>
                <w:sz w:val="24"/>
                <w:lang w:val="vi-VN"/>
              </w:rPr>
              <w:t xml:space="preserve">- Doanh nghiệp nhà nước có phải xin phê duyệt/ ý kiến của cơ quan chủ quản về giá trị khoản tiền đấu giá không? Nếu có, Chính phủ quy định thời gian phê duyệt là bao nhiêu ngày để bảo đảm thời gian tham gia đấu giá của doanh nghiệp. </w:t>
            </w:r>
          </w:p>
          <w:p w:rsidR="007A0BCB" w:rsidRPr="00E17D3D" w:rsidRDefault="007A0BCB" w:rsidP="007A0BCB">
            <w:pPr>
              <w:rPr>
                <w:bCs/>
                <w:sz w:val="24"/>
                <w:lang w:val="vi-VN"/>
              </w:rPr>
            </w:pPr>
            <w:r w:rsidRPr="00E17D3D">
              <w:rPr>
                <w:bCs/>
                <w:sz w:val="24"/>
                <w:lang w:val="vi-VN"/>
              </w:rPr>
              <w:t>Nếu phải xin thẩm định/phê duyệt thì cơ chế bảo mật như thế nào cho giá đấu giá của doanh nghiệp khi qua rất nhiều bước, thủ tục thẩm định?</w:t>
            </w:r>
          </w:p>
          <w:p w:rsidR="007A0BCB" w:rsidRPr="00E17D3D" w:rsidRDefault="007A0BCB" w:rsidP="007A0BCB">
            <w:pPr>
              <w:rPr>
                <w:bCs/>
                <w:sz w:val="24"/>
                <w:lang w:val="vi-VN"/>
              </w:rPr>
            </w:pPr>
            <w:r w:rsidRPr="00E17D3D">
              <w:rPr>
                <w:bCs/>
                <w:sz w:val="24"/>
                <w:lang w:val="vi-VN"/>
              </w:rPr>
              <w:t xml:space="preserve">- Nguồn vốn đấu giá: Đề nghị trong Nghị định bổ sung hướng dẫn cụ thể quy định nguồn vốn sử dụng cho đấu giá tần số vô tuyến điện do Doanh nghiệp tham gia đấu giá sẽ thực hiện bằng nguồn Đầu tư phát triển hay nguồn chi phí sản xuất kinh doanh? Trình tự thủ tục triển khai bố trí nguồn giao cho Bộ KHĐT, Bộ TC hướng dẫn đảm bảo đúng quy định của Luật </w:t>
            </w:r>
            <w:r w:rsidRPr="00E17D3D">
              <w:rPr>
                <w:bCs/>
                <w:sz w:val="24"/>
                <w:lang w:val="vi-VN"/>
              </w:rPr>
              <w:lastRenderedPageBreak/>
              <w:t>đấu thầu, Luật kế toán.</w:t>
            </w:r>
          </w:p>
          <w:p w:rsidR="007A0BCB" w:rsidRPr="00E17D3D" w:rsidRDefault="007A0BCB" w:rsidP="007A0BCB">
            <w:pPr>
              <w:rPr>
                <w:bCs/>
                <w:sz w:val="24"/>
                <w:lang w:val="vi-VN"/>
              </w:rPr>
            </w:pPr>
            <w:r w:rsidRPr="00E17D3D">
              <w:rPr>
                <w:bCs/>
                <w:sz w:val="24"/>
                <w:lang w:val="vi-VN"/>
              </w:rPr>
              <w:t>- Trong trường hợp sử dụng nguồn đầu tư, đề nghị hướng dẫn cụ thể cơ quan thẩm quyền nào phê duyệt dự án đấu giá tần số vô tuyền điện vì giá trị dự án rất lớn. Trường hợp sử dụng nguồn Đầu tư phát triển thì chi phí sử dụng tần số vô tuyền điện có được hình thành tài sản vô hình hay không? Trích khấu hao như thế nào và thời gian trích khấu hao bao nhiêu năm?</w:t>
            </w:r>
          </w:p>
        </w:tc>
        <w:tc>
          <w:tcPr>
            <w:tcW w:w="5948" w:type="dxa"/>
            <w:vMerge/>
            <w:tcBorders>
              <w:left w:val="single" w:sz="4" w:space="0" w:color="auto"/>
              <w:bottom w:val="single" w:sz="4" w:space="0" w:color="auto"/>
              <w:right w:val="single" w:sz="4" w:space="0" w:color="auto"/>
            </w:tcBorders>
          </w:tcPr>
          <w:p w:rsidR="007A0BCB" w:rsidRPr="00E17D3D" w:rsidRDefault="007A0BCB" w:rsidP="000F440B">
            <w:pPr>
              <w:rPr>
                <w:sz w:val="24"/>
                <w:lang w:val="vi-VN"/>
              </w:rPr>
            </w:pPr>
          </w:p>
        </w:tc>
      </w:tr>
    </w:tbl>
    <w:p w:rsidR="00940846" w:rsidRPr="007A0BCB" w:rsidRDefault="00940846">
      <w:pPr>
        <w:rPr>
          <w:lang w:val="vi-VN"/>
        </w:rPr>
      </w:pPr>
    </w:p>
    <w:sectPr w:rsidR="00940846" w:rsidRPr="007A0BCB" w:rsidSect="00FF0230">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A30" w:rsidRDefault="00847A30" w:rsidP="00A3538D">
      <w:r>
        <w:separator/>
      </w:r>
    </w:p>
  </w:endnote>
  <w:endnote w:type="continuationSeparator" w:id="0">
    <w:p w:rsidR="00847A30" w:rsidRDefault="00847A30" w:rsidP="00A3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20000001" w:usb1="00000000" w:usb2="00000000" w:usb3="00000000" w:csb0="00000100" w:csb1="00000000"/>
  </w:font>
  <w:font w:name="Courier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A30" w:rsidRDefault="00847A30" w:rsidP="00A3538D">
      <w:r>
        <w:separator/>
      </w:r>
    </w:p>
  </w:footnote>
  <w:footnote w:type="continuationSeparator" w:id="0">
    <w:p w:rsidR="00847A30" w:rsidRDefault="00847A30" w:rsidP="00A35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7FC"/>
    <w:multiLevelType w:val="hybridMultilevel"/>
    <w:tmpl w:val="B7CEEDF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263CB1"/>
    <w:multiLevelType w:val="hybridMultilevel"/>
    <w:tmpl w:val="C280392A"/>
    <w:lvl w:ilvl="0" w:tplc="B9CAF182">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7B692A"/>
    <w:multiLevelType w:val="hybridMultilevel"/>
    <w:tmpl w:val="1C6CCD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15584D"/>
    <w:multiLevelType w:val="hybridMultilevel"/>
    <w:tmpl w:val="C7943516"/>
    <w:lvl w:ilvl="0" w:tplc="0FE2C7E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1F7976"/>
    <w:multiLevelType w:val="hybridMultilevel"/>
    <w:tmpl w:val="11F65BFE"/>
    <w:lvl w:ilvl="0" w:tplc="44EA518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18489B"/>
    <w:multiLevelType w:val="hybridMultilevel"/>
    <w:tmpl w:val="A6C421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12"/>
    <w:rsid w:val="0000319B"/>
    <w:rsid w:val="00031111"/>
    <w:rsid w:val="000412C6"/>
    <w:rsid w:val="000466B7"/>
    <w:rsid w:val="00053212"/>
    <w:rsid w:val="00057924"/>
    <w:rsid w:val="000749A0"/>
    <w:rsid w:val="00086345"/>
    <w:rsid w:val="00091271"/>
    <w:rsid w:val="000A094E"/>
    <w:rsid w:val="000A1179"/>
    <w:rsid w:val="000A1C82"/>
    <w:rsid w:val="000A7789"/>
    <w:rsid w:val="000B2D7A"/>
    <w:rsid w:val="000E342B"/>
    <w:rsid w:val="000F440B"/>
    <w:rsid w:val="000F70C4"/>
    <w:rsid w:val="00105DB5"/>
    <w:rsid w:val="00113D49"/>
    <w:rsid w:val="00145F16"/>
    <w:rsid w:val="001510A9"/>
    <w:rsid w:val="00154583"/>
    <w:rsid w:val="001550F0"/>
    <w:rsid w:val="001A2174"/>
    <w:rsid w:val="001A3FED"/>
    <w:rsid w:val="001A6B6C"/>
    <w:rsid w:val="001A6EF9"/>
    <w:rsid w:val="001B24D5"/>
    <w:rsid w:val="001C5076"/>
    <w:rsid w:val="001C6C62"/>
    <w:rsid w:val="001D6BB7"/>
    <w:rsid w:val="001F1787"/>
    <w:rsid w:val="001F407A"/>
    <w:rsid w:val="001F734C"/>
    <w:rsid w:val="002121AD"/>
    <w:rsid w:val="00223986"/>
    <w:rsid w:val="0024683C"/>
    <w:rsid w:val="00250509"/>
    <w:rsid w:val="00255CDD"/>
    <w:rsid w:val="0026405A"/>
    <w:rsid w:val="00280B8E"/>
    <w:rsid w:val="00295DBE"/>
    <w:rsid w:val="0029632A"/>
    <w:rsid w:val="002B54CC"/>
    <w:rsid w:val="002B70D0"/>
    <w:rsid w:val="002B7B65"/>
    <w:rsid w:val="002C72D5"/>
    <w:rsid w:val="002D753C"/>
    <w:rsid w:val="002E233C"/>
    <w:rsid w:val="00307AEC"/>
    <w:rsid w:val="00317C47"/>
    <w:rsid w:val="00323845"/>
    <w:rsid w:val="00332F30"/>
    <w:rsid w:val="0033360F"/>
    <w:rsid w:val="00345D61"/>
    <w:rsid w:val="0035371C"/>
    <w:rsid w:val="003564C4"/>
    <w:rsid w:val="0035753B"/>
    <w:rsid w:val="0035793C"/>
    <w:rsid w:val="00360592"/>
    <w:rsid w:val="00364A24"/>
    <w:rsid w:val="00375E00"/>
    <w:rsid w:val="003813DB"/>
    <w:rsid w:val="003A6128"/>
    <w:rsid w:val="003B70FE"/>
    <w:rsid w:val="003C12C8"/>
    <w:rsid w:val="003E3FB6"/>
    <w:rsid w:val="00415AB7"/>
    <w:rsid w:val="004430BD"/>
    <w:rsid w:val="00447F29"/>
    <w:rsid w:val="00455B7D"/>
    <w:rsid w:val="004779D1"/>
    <w:rsid w:val="00480E22"/>
    <w:rsid w:val="00497DF3"/>
    <w:rsid w:val="004A5782"/>
    <w:rsid w:val="004B2DDD"/>
    <w:rsid w:val="004B3A6A"/>
    <w:rsid w:val="004C2093"/>
    <w:rsid w:val="004D5186"/>
    <w:rsid w:val="004D7E7A"/>
    <w:rsid w:val="004E43BB"/>
    <w:rsid w:val="004E6089"/>
    <w:rsid w:val="004F0461"/>
    <w:rsid w:val="00515A26"/>
    <w:rsid w:val="00522A58"/>
    <w:rsid w:val="00544034"/>
    <w:rsid w:val="0055090B"/>
    <w:rsid w:val="005550DB"/>
    <w:rsid w:val="005636B4"/>
    <w:rsid w:val="0056613E"/>
    <w:rsid w:val="00572728"/>
    <w:rsid w:val="00580AB4"/>
    <w:rsid w:val="0059503E"/>
    <w:rsid w:val="00595DF3"/>
    <w:rsid w:val="005D49D3"/>
    <w:rsid w:val="005E6655"/>
    <w:rsid w:val="005F323B"/>
    <w:rsid w:val="005F497E"/>
    <w:rsid w:val="0060283D"/>
    <w:rsid w:val="00611CBC"/>
    <w:rsid w:val="0062556C"/>
    <w:rsid w:val="00643931"/>
    <w:rsid w:val="006463F4"/>
    <w:rsid w:val="00646A05"/>
    <w:rsid w:val="00663FBD"/>
    <w:rsid w:val="00674AE5"/>
    <w:rsid w:val="00693E67"/>
    <w:rsid w:val="006B6D17"/>
    <w:rsid w:val="006C71A6"/>
    <w:rsid w:val="006D6FFD"/>
    <w:rsid w:val="006E433C"/>
    <w:rsid w:val="006E49B6"/>
    <w:rsid w:val="006F0676"/>
    <w:rsid w:val="006F4E1B"/>
    <w:rsid w:val="006F5271"/>
    <w:rsid w:val="00705CC4"/>
    <w:rsid w:val="00713883"/>
    <w:rsid w:val="00724D08"/>
    <w:rsid w:val="0072684A"/>
    <w:rsid w:val="007311D8"/>
    <w:rsid w:val="007414A6"/>
    <w:rsid w:val="007510AC"/>
    <w:rsid w:val="00752EB6"/>
    <w:rsid w:val="00772250"/>
    <w:rsid w:val="00781AEA"/>
    <w:rsid w:val="007A0BCB"/>
    <w:rsid w:val="007A1C8F"/>
    <w:rsid w:val="007B6505"/>
    <w:rsid w:val="007B727E"/>
    <w:rsid w:val="007F6709"/>
    <w:rsid w:val="00806213"/>
    <w:rsid w:val="00807CC8"/>
    <w:rsid w:val="008143C2"/>
    <w:rsid w:val="008224AC"/>
    <w:rsid w:val="00840AC8"/>
    <w:rsid w:val="00842657"/>
    <w:rsid w:val="00842678"/>
    <w:rsid w:val="00845D2F"/>
    <w:rsid w:val="00847A30"/>
    <w:rsid w:val="008506B0"/>
    <w:rsid w:val="00854C96"/>
    <w:rsid w:val="00867CD7"/>
    <w:rsid w:val="00871D16"/>
    <w:rsid w:val="00881203"/>
    <w:rsid w:val="00882480"/>
    <w:rsid w:val="00885F1D"/>
    <w:rsid w:val="0088669D"/>
    <w:rsid w:val="008A2475"/>
    <w:rsid w:val="008A5050"/>
    <w:rsid w:val="008A7F5C"/>
    <w:rsid w:val="008B079E"/>
    <w:rsid w:val="008B48E1"/>
    <w:rsid w:val="008C0D1C"/>
    <w:rsid w:val="008D1429"/>
    <w:rsid w:val="008D3130"/>
    <w:rsid w:val="008E77DF"/>
    <w:rsid w:val="00901AAB"/>
    <w:rsid w:val="00905154"/>
    <w:rsid w:val="00912A4A"/>
    <w:rsid w:val="00926A01"/>
    <w:rsid w:val="0093369F"/>
    <w:rsid w:val="00940846"/>
    <w:rsid w:val="00954045"/>
    <w:rsid w:val="0095436D"/>
    <w:rsid w:val="00970F3B"/>
    <w:rsid w:val="00976DBE"/>
    <w:rsid w:val="0098016B"/>
    <w:rsid w:val="009910C1"/>
    <w:rsid w:val="00992A82"/>
    <w:rsid w:val="009B30C5"/>
    <w:rsid w:val="009B4B5C"/>
    <w:rsid w:val="009C2E1F"/>
    <w:rsid w:val="009D185C"/>
    <w:rsid w:val="009D1C5A"/>
    <w:rsid w:val="009E61F2"/>
    <w:rsid w:val="00A22650"/>
    <w:rsid w:val="00A27183"/>
    <w:rsid w:val="00A30744"/>
    <w:rsid w:val="00A3476D"/>
    <w:rsid w:val="00A34A1B"/>
    <w:rsid w:val="00A3538D"/>
    <w:rsid w:val="00A41543"/>
    <w:rsid w:val="00A42B3C"/>
    <w:rsid w:val="00A476A3"/>
    <w:rsid w:val="00A524DA"/>
    <w:rsid w:val="00A6251A"/>
    <w:rsid w:val="00A8338B"/>
    <w:rsid w:val="00A85E30"/>
    <w:rsid w:val="00AA6FFE"/>
    <w:rsid w:val="00AB2156"/>
    <w:rsid w:val="00AB37A8"/>
    <w:rsid w:val="00AB716C"/>
    <w:rsid w:val="00AC345B"/>
    <w:rsid w:val="00AD06BB"/>
    <w:rsid w:val="00AD3D3A"/>
    <w:rsid w:val="00AE0BA8"/>
    <w:rsid w:val="00AE4D39"/>
    <w:rsid w:val="00AF0E61"/>
    <w:rsid w:val="00AF2167"/>
    <w:rsid w:val="00AF6B83"/>
    <w:rsid w:val="00B01F83"/>
    <w:rsid w:val="00B029EA"/>
    <w:rsid w:val="00B2032E"/>
    <w:rsid w:val="00B2164E"/>
    <w:rsid w:val="00B5075A"/>
    <w:rsid w:val="00B51CF6"/>
    <w:rsid w:val="00B5700B"/>
    <w:rsid w:val="00B64666"/>
    <w:rsid w:val="00B66587"/>
    <w:rsid w:val="00B70F7C"/>
    <w:rsid w:val="00B82DB4"/>
    <w:rsid w:val="00BA52A1"/>
    <w:rsid w:val="00BB1364"/>
    <w:rsid w:val="00BB138D"/>
    <w:rsid w:val="00BB4005"/>
    <w:rsid w:val="00BC6961"/>
    <w:rsid w:val="00BC71B2"/>
    <w:rsid w:val="00BD087D"/>
    <w:rsid w:val="00BD680B"/>
    <w:rsid w:val="00BE32A2"/>
    <w:rsid w:val="00BE5D4A"/>
    <w:rsid w:val="00BE74EA"/>
    <w:rsid w:val="00BF2215"/>
    <w:rsid w:val="00BF4C85"/>
    <w:rsid w:val="00C02F53"/>
    <w:rsid w:val="00C075C2"/>
    <w:rsid w:val="00C10D25"/>
    <w:rsid w:val="00C13A06"/>
    <w:rsid w:val="00C1441B"/>
    <w:rsid w:val="00C2671A"/>
    <w:rsid w:val="00C3227B"/>
    <w:rsid w:val="00C375EC"/>
    <w:rsid w:val="00C44AFE"/>
    <w:rsid w:val="00C5432E"/>
    <w:rsid w:val="00C61A12"/>
    <w:rsid w:val="00C62874"/>
    <w:rsid w:val="00C92830"/>
    <w:rsid w:val="00C97885"/>
    <w:rsid w:val="00CA2D32"/>
    <w:rsid w:val="00CA775E"/>
    <w:rsid w:val="00CB2E42"/>
    <w:rsid w:val="00CC1B12"/>
    <w:rsid w:val="00CE29FF"/>
    <w:rsid w:val="00CE30A1"/>
    <w:rsid w:val="00CF54DA"/>
    <w:rsid w:val="00D00159"/>
    <w:rsid w:val="00D0598F"/>
    <w:rsid w:val="00D25D59"/>
    <w:rsid w:val="00D372F9"/>
    <w:rsid w:val="00D51577"/>
    <w:rsid w:val="00D7671C"/>
    <w:rsid w:val="00D81FD2"/>
    <w:rsid w:val="00D84D7F"/>
    <w:rsid w:val="00D866DA"/>
    <w:rsid w:val="00DC03AD"/>
    <w:rsid w:val="00DE29C1"/>
    <w:rsid w:val="00DE5F73"/>
    <w:rsid w:val="00DF3160"/>
    <w:rsid w:val="00E035A2"/>
    <w:rsid w:val="00E17D3D"/>
    <w:rsid w:val="00E214FC"/>
    <w:rsid w:val="00E24ADE"/>
    <w:rsid w:val="00E36EE0"/>
    <w:rsid w:val="00E530DC"/>
    <w:rsid w:val="00E54080"/>
    <w:rsid w:val="00E61AA2"/>
    <w:rsid w:val="00E72494"/>
    <w:rsid w:val="00E726A0"/>
    <w:rsid w:val="00E8280D"/>
    <w:rsid w:val="00E87FB6"/>
    <w:rsid w:val="00E90346"/>
    <w:rsid w:val="00E93597"/>
    <w:rsid w:val="00E97BB2"/>
    <w:rsid w:val="00E97F09"/>
    <w:rsid w:val="00EA5CC2"/>
    <w:rsid w:val="00EA6611"/>
    <w:rsid w:val="00ED133C"/>
    <w:rsid w:val="00EE034B"/>
    <w:rsid w:val="00EF240A"/>
    <w:rsid w:val="00EF2AC2"/>
    <w:rsid w:val="00F11F97"/>
    <w:rsid w:val="00F14A51"/>
    <w:rsid w:val="00F14ED8"/>
    <w:rsid w:val="00F237C2"/>
    <w:rsid w:val="00F25A4F"/>
    <w:rsid w:val="00F26C32"/>
    <w:rsid w:val="00F31004"/>
    <w:rsid w:val="00F40F5C"/>
    <w:rsid w:val="00F5079A"/>
    <w:rsid w:val="00F53F2B"/>
    <w:rsid w:val="00F562FC"/>
    <w:rsid w:val="00F56D0C"/>
    <w:rsid w:val="00F66DED"/>
    <w:rsid w:val="00F734EE"/>
    <w:rsid w:val="00F74B47"/>
    <w:rsid w:val="00F85090"/>
    <w:rsid w:val="00F94DB7"/>
    <w:rsid w:val="00F97AEF"/>
    <w:rsid w:val="00FA0290"/>
    <w:rsid w:val="00FA03D1"/>
    <w:rsid w:val="00FA2A81"/>
    <w:rsid w:val="00FB040B"/>
    <w:rsid w:val="00FF02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8F"/>
    <w:pPr>
      <w:spacing w:after="0" w:line="240" w:lineRule="auto"/>
      <w:jc w:val="both"/>
    </w:pPr>
    <w:rPr>
      <w:rFonts w:ascii="Times New Roman" w:hAnsi="Times New Roman"/>
      <w:sz w:val="28"/>
      <w:szCs w:val="24"/>
      <w:lang w:val="ru-RU"/>
    </w:rPr>
  </w:style>
  <w:style w:type="paragraph" w:styleId="Heading1">
    <w:name w:val="heading 1"/>
    <w:basedOn w:val="Normal"/>
    <w:next w:val="Normal"/>
    <w:link w:val="Heading1Char"/>
    <w:autoRedefine/>
    <w:uiPriority w:val="9"/>
    <w:qFormat/>
    <w:rsid w:val="00A85E30"/>
    <w:pPr>
      <w:keepNext/>
      <w:tabs>
        <w:tab w:val="left" w:pos="142"/>
      </w:tabs>
      <w:spacing w:before="240" w:after="120"/>
      <w:outlineLvl w:val="0"/>
    </w:pPr>
    <w:rPr>
      <w:rFonts w:eastAsiaTheme="majorEastAsia" w:cs="Times New Roman"/>
      <w:b/>
      <w:bCs/>
      <w:szCs w:val="28"/>
      <w:lang w:val="nl-NL"/>
    </w:rPr>
  </w:style>
  <w:style w:type="paragraph" w:styleId="Heading2">
    <w:name w:val="heading 2"/>
    <w:basedOn w:val="Normal"/>
    <w:next w:val="Normal"/>
    <w:link w:val="Heading2Char"/>
    <w:autoRedefine/>
    <w:uiPriority w:val="9"/>
    <w:unhideWhenUsed/>
    <w:qFormat/>
    <w:rsid w:val="00A85E3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30"/>
    <w:rPr>
      <w:rFonts w:ascii="Times New Roman" w:eastAsiaTheme="majorEastAsia" w:hAnsi="Times New Roman" w:cs="Times New Roman"/>
      <w:b/>
      <w:bCs/>
      <w:sz w:val="28"/>
      <w:szCs w:val="28"/>
      <w:lang w:val="nl-NL"/>
    </w:rPr>
  </w:style>
  <w:style w:type="character" w:customStyle="1" w:styleId="Heading2Char">
    <w:name w:val="Heading 2 Char"/>
    <w:basedOn w:val="DefaultParagraphFont"/>
    <w:link w:val="Heading2"/>
    <w:uiPriority w:val="9"/>
    <w:rsid w:val="00A85E30"/>
    <w:rPr>
      <w:rFonts w:ascii="Times New Roman" w:eastAsiaTheme="majorEastAsia" w:hAnsi="Times New Roman" w:cstheme="majorBidi"/>
      <w:b/>
      <w:sz w:val="28"/>
      <w:szCs w:val="26"/>
    </w:rPr>
  </w:style>
  <w:style w:type="table" w:styleId="TableGrid">
    <w:name w:val="Table Grid"/>
    <w:basedOn w:val="TableNormal"/>
    <w:uiPriority w:val="39"/>
    <w:rsid w:val="00105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F6B83"/>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940846"/>
    <w:rPr>
      <w:rFonts w:ascii="CourierNew" w:hAnsi="CourierNew" w:hint="default"/>
      <w:b w:val="0"/>
      <w:bCs w:val="0"/>
      <w:i w:val="0"/>
      <w:iCs w:val="0"/>
      <w:color w:val="000000"/>
      <w:sz w:val="28"/>
      <w:szCs w:val="28"/>
    </w:rPr>
  </w:style>
  <w:style w:type="paragraph" w:styleId="ListParagraph">
    <w:name w:val="List Paragraph"/>
    <w:basedOn w:val="Normal"/>
    <w:uiPriority w:val="34"/>
    <w:qFormat/>
    <w:rsid w:val="00CE29FF"/>
    <w:pPr>
      <w:ind w:left="720"/>
      <w:contextualSpacing/>
      <w:jc w:val="left"/>
    </w:pPr>
    <w:rPr>
      <w:rFonts w:asciiTheme="minorHAnsi" w:hAnsiTheme="minorHAnsi"/>
      <w:sz w:val="24"/>
      <w:lang w:val="en-US"/>
    </w:rPr>
  </w:style>
  <w:style w:type="paragraph" w:styleId="BalloonText">
    <w:name w:val="Balloon Text"/>
    <w:basedOn w:val="Normal"/>
    <w:link w:val="BalloonTextChar"/>
    <w:uiPriority w:val="99"/>
    <w:semiHidden/>
    <w:unhideWhenUsed/>
    <w:rsid w:val="00B82DB4"/>
    <w:rPr>
      <w:rFonts w:ascii="Tahoma" w:hAnsi="Tahoma" w:cs="Tahoma"/>
      <w:sz w:val="16"/>
      <w:szCs w:val="16"/>
    </w:rPr>
  </w:style>
  <w:style w:type="character" w:customStyle="1" w:styleId="BalloonTextChar">
    <w:name w:val="Balloon Text Char"/>
    <w:basedOn w:val="DefaultParagraphFont"/>
    <w:link w:val="BalloonText"/>
    <w:uiPriority w:val="99"/>
    <w:semiHidden/>
    <w:rsid w:val="00B82DB4"/>
    <w:rPr>
      <w:rFonts w:ascii="Tahoma" w:hAnsi="Tahoma" w:cs="Tahoma"/>
      <w:sz w:val="16"/>
      <w:szCs w:val="16"/>
      <w:lang w:val="ru-RU"/>
    </w:rPr>
  </w:style>
  <w:style w:type="paragraph" w:styleId="NormalWeb">
    <w:name w:val="Normal (Web)"/>
    <w:basedOn w:val="Normal"/>
    <w:uiPriority w:val="99"/>
    <w:unhideWhenUsed/>
    <w:rsid w:val="00B82DB4"/>
    <w:pPr>
      <w:spacing w:before="100" w:beforeAutospacing="1" w:after="100" w:afterAutospacing="1"/>
      <w:jc w:val="left"/>
    </w:pPr>
    <w:rPr>
      <w:rFonts w:eastAsia="Times New Roman" w:cs="Times New Roman"/>
      <w:sz w:val="24"/>
      <w:lang w:val="en-US"/>
    </w:rPr>
  </w:style>
  <w:style w:type="paragraph" w:styleId="FootnoteText">
    <w:name w:val="footnote text"/>
    <w:basedOn w:val="Normal"/>
    <w:link w:val="FootnoteTextChar"/>
    <w:uiPriority w:val="99"/>
    <w:unhideWhenUsed/>
    <w:rsid w:val="00A3538D"/>
    <w:pPr>
      <w:spacing w:after="200" w:line="276" w:lineRule="auto"/>
      <w:jc w:val="left"/>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A3538D"/>
    <w:rPr>
      <w:rFonts w:ascii="Calibri" w:eastAsia="Calibri" w:hAnsi="Calibri" w:cs="Times New Roman"/>
      <w:sz w:val="20"/>
      <w:szCs w:val="20"/>
    </w:rPr>
  </w:style>
  <w:style w:type="character" w:styleId="FootnoteReference">
    <w:name w:val="footnote reference"/>
    <w:uiPriority w:val="99"/>
    <w:semiHidden/>
    <w:unhideWhenUsed/>
    <w:rsid w:val="00A3538D"/>
    <w:rPr>
      <w:vertAlign w:val="superscript"/>
    </w:rPr>
  </w:style>
  <w:style w:type="paragraph" w:styleId="Header">
    <w:name w:val="header"/>
    <w:basedOn w:val="Normal"/>
    <w:link w:val="HeaderChar"/>
    <w:uiPriority w:val="99"/>
    <w:unhideWhenUsed/>
    <w:rsid w:val="001F407A"/>
    <w:pPr>
      <w:tabs>
        <w:tab w:val="center" w:pos="4513"/>
        <w:tab w:val="right" w:pos="9026"/>
      </w:tabs>
    </w:pPr>
  </w:style>
  <w:style w:type="character" w:customStyle="1" w:styleId="HeaderChar">
    <w:name w:val="Header Char"/>
    <w:basedOn w:val="DefaultParagraphFont"/>
    <w:link w:val="Header"/>
    <w:uiPriority w:val="99"/>
    <w:rsid w:val="001F407A"/>
    <w:rPr>
      <w:rFonts w:ascii="Times New Roman" w:hAnsi="Times New Roman"/>
      <w:sz w:val="28"/>
      <w:szCs w:val="24"/>
      <w:lang w:val="ru-RU"/>
    </w:rPr>
  </w:style>
  <w:style w:type="paragraph" w:styleId="Footer">
    <w:name w:val="footer"/>
    <w:basedOn w:val="Normal"/>
    <w:link w:val="FooterChar"/>
    <w:uiPriority w:val="99"/>
    <w:unhideWhenUsed/>
    <w:rsid w:val="001F407A"/>
    <w:pPr>
      <w:tabs>
        <w:tab w:val="center" w:pos="4513"/>
        <w:tab w:val="right" w:pos="9026"/>
      </w:tabs>
    </w:pPr>
  </w:style>
  <w:style w:type="character" w:customStyle="1" w:styleId="FooterChar">
    <w:name w:val="Footer Char"/>
    <w:basedOn w:val="DefaultParagraphFont"/>
    <w:link w:val="Footer"/>
    <w:uiPriority w:val="99"/>
    <w:rsid w:val="001F407A"/>
    <w:rPr>
      <w:rFonts w:ascii="Times New Roman" w:hAnsi="Times New Roman"/>
      <w:sz w:val="28"/>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8F"/>
    <w:pPr>
      <w:spacing w:after="0" w:line="240" w:lineRule="auto"/>
      <w:jc w:val="both"/>
    </w:pPr>
    <w:rPr>
      <w:rFonts w:ascii="Times New Roman" w:hAnsi="Times New Roman"/>
      <w:sz w:val="28"/>
      <w:szCs w:val="24"/>
      <w:lang w:val="ru-RU"/>
    </w:rPr>
  </w:style>
  <w:style w:type="paragraph" w:styleId="Heading1">
    <w:name w:val="heading 1"/>
    <w:basedOn w:val="Normal"/>
    <w:next w:val="Normal"/>
    <w:link w:val="Heading1Char"/>
    <w:autoRedefine/>
    <w:uiPriority w:val="9"/>
    <w:qFormat/>
    <w:rsid w:val="00A85E30"/>
    <w:pPr>
      <w:keepNext/>
      <w:tabs>
        <w:tab w:val="left" w:pos="142"/>
      </w:tabs>
      <w:spacing w:before="240" w:after="120"/>
      <w:outlineLvl w:val="0"/>
    </w:pPr>
    <w:rPr>
      <w:rFonts w:eastAsiaTheme="majorEastAsia" w:cs="Times New Roman"/>
      <w:b/>
      <w:bCs/>
      <w:szCs w:val="28"/>
      <w:lang w:val="nl-NL"/>
    </w:rPr>
  </w:style>
  <w:style w:type="paragraph" w:styleId="Heading2">
    <w:name w:val="heading 2"/>
    <w:basedOn w:val="Normal"/>
    <w:next w:val="Normal"/>
    <w:link w:val="Heading2Char"/>
    <w:autoRedefine/>
    <w:uiPriority w:val="9"/>
    <w:unhideWhenUsed/>
    <w:qFormat/>
    <w:rsid w:val="00A85E3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30"/>
    <w:rPr>
      <w:rFonts w:ascii="Times New Roman" w:eastAsiaTheme="majorEastAsia" w:hAnsi="Times New Roman" w:cs="Times New Roman"/>
      <w:b/>
      <w:bCs/>
      <w:sz w:val="28"/>
      <w:szCs w:val="28"/>
      <w:lang w:val="nl-NL"/>
    </w:rPr>
  </w:style>
  <w:style w:type="character" w:customStyle="1" w:styleId="Heading2Char">
    <w:name w:val="Heading 2 Char"/>
    <w:basedOn w:val="DefaultParagraphFont"/>
    <w:link w:val="Heading2"/>
    <w:uiPriority w:val="9"/>
    <w:rsid w:val="00A85E30"/>
    <w:rPr>
      <w:rFonts w:ascii="Times New Roman" w:eastAsiaTheme="majorEastAsia" w:hAnsi="Times New Roman" w:cstheme="majorBidi"/>
      <w:b/>
      <w:sz w:val="28"/>
      <w:szCs w:val="26"/>
    </w:rPr>
  </w:style>
  <w:style w:type="table" w:styleId="TableGrid">
    <w:name w:val="Table Grid"/>
    <w:basedOn w:val="TableNormal"/>
    <w:uiPriority w:val="39"/>
    <w:rsid w:val="00105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F6B83"/>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940846"/>
    <w:rPr>
      <w:rFonts w:ascii="CourierNew" w:hAnsi="CourierNew" w:hint="default"/>
      <w:b w:val="0"/>
      <w:bCs w:val="0"/>
      <w:i w:val="0"/>
      <w:iCs w:val="0"/>
      <w:color w:val="000000"/>
      <w:sz w:val="28"/>
      <w:szCs w:val="28"/>
    </w:rPr>
  </w:style>
  <w:style w:type="paragraph" w:styleId="ListParagraph">
    <w:name w:val="List Paragraph"/>
    <w:basedOn w:val="Normal"/>
    <w:uiPriority w:val="34"/>
    <w:qFormat/>
    <w:rsid w:val="00CE29FF"/>
    <w:pPr>
      <w:ind w:left="720"/>
      <w:contextualSpacing/>
      <w:jc w:val="left"/>
    </w:pPr>
    <w:rPr>
      <w:rFonts w:asciiTheme="minorHAnsi" w:hAnsiTheme="minorHAnsi"/>
      <w:sz w:val="24"/>
      <w:lang w:val="en-US"/>
    </w:rPr>
  </w:style>
  <w:style w:type="paragraph" w:styleId="BalloonText">
    <w:name w:val="Balloon Text"/>
    <w:basedOn w:val="Normal"/>
    <w:link w:val="BalloonTextChar"/>
    <w:uiPriority w:val="99"/>
    <w:semiHidden/>
    <w:unhideWhenUsed/>
    <w:rsid w:val="00B82DB4"/>
    <w:rPr>
      <w:rFonts w:ascii="Tahoma" w:hAnsi="Tahoma" w:cs="Tahoma"/>
      <w:sz w:val="16"/>
      <w:szCs w:val="16"/>
    </w:rPr>
  </w:style>
  <w:style w:type="character" w:customStyle="1" w:styleId="BalloonTextChar">
    <w:name w:val="Balloon Text Char"/>
    <w:basedOn w:val="DefaultParagraphFont"/>
    <w:link w:val="BalloonText"/>
    <w:uiPriority w:val="99"/>
    <w:semiHidden/>
    <w:rsid w:val="00B82DB4"/>
    <w:rPr>
      <w:rFonts w:ascii="Tahoma" w:hAnsi="Tahoma" w:cs="Tahoma"/>
      <w:sz w:val="16"/>
      <w:szCs w:val="16"/>
      <w:lang w:val="ru-RU"/>
    </w:rPr>
  </w:style>
  <w:style w:type="paragraph" w:styleId="NormalWeb">
    <w:name w:val="Normal (Web)"/>
    <w:basedOn w:val="Normal"/>
    <w:uiPriority w:val="99"/>
    <w:unhideWhenUsed/>
    <w:rsid w:val="00B82DB4"/>
    <w:pPr>
      <w:spacing w:before="100" w:beforeAutospacing="1" w:after="100" w:afterAutospacing="1"/>
      <w:jc w:val="left"/>
    </w:pPr>
    <w:rPr>
      <w:rFonts w:eastAsia="Times New Roman" w:cs="Times New Roman"/>
      <w:sz w:val="24"/>
      <w:lang w:val="en-US"/>
    </w:rPr>
  </w:style>
  <w:style w:type="paragraph" w:styleId="FootnoteText">
    <w:name w:val="footnote text"/>
    <w:basedOn w:val="Normal"/>
    <w:link w:val="FootnoteTextChar"/>
    <w:uiPriority w:val="99"/>
    <w:unhideWhenUsed/>
    <w:rsid w:val="00A3538D"/>
    <w:pPr>
      <w:spacing w:after="200" w:line="276" w:lineRule="auto"/>
      <w:jc w:val="left"/>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A3538D"/>
    <w:rPr>
      <w:rFonts w:ascii="Calibri" w:eastAsia="Calibri" w:hAnsi="Calibri" w:cs="Times New Roman"/>
      <w:sz w:val="20"/>
      <w:szCs w:val="20"/>
    </w:rPr>
  </w:style>
  <w:style w:type="character" w:styleId="FootnoteReference">
    <w:name w:val="footnote reference"/>
    <w:uiPriority w:val="99"/>
    <w:semiHidden/>
    <w:unhideWhenUsed/>
    <w:rsid w:val="00A3538D"/>
    <w:rPr>
      <w:vertAlign w:val="superscript"/>
    </w:rPr>
  </w:style>
  <w:style w:type="paragraph" w:styleId="Header">
    <w:name w:val="header"/>
    <w:basedOn w:val="Normal"/>
    <w:link w:val="HeaderChar"/>
    <w:uiPriority w:val="99"/>
    <w:unhideWhenUsed/>
    <w:rsid w:val="001F407A"/>
    <w:pPr>
      <w:tabs>
        <w:tab w:val="center" w:pos="4513"/>
        <w:tab w:val="right" w:pos="9026"/>
      </w:tabs>
    </w:pPr>
  </w:style>
  <w:style w:type="character" w:customStyle="1" w:styleId="HeaderChar">
    <w:name w:val="Header Char"/>
    <w:basedOn w:val="DefaultParagraphFont"/>
    <w:link w:val="Header"/>
    <w:uiPriority w:val="99"/>
    <w:rsid w:val="001F407A"/>
    <w:rPr>
      <w:rFonts w:ascii="Times New Roman" w:hAnsi="Times New Roman"/>
      <w:sz w:val="28"/>
      <w:szCs w:val="24"/>
      <w:lang w:val="ru-RU"/>
    </w:rPr>
  </w:style>
  <w:style w:type="paragraph" w:styleId="Footer">
    <w:name w:val="footer"/>
    <w:basedOn w:val="Normal"/>
    <w:link w:val="FooterChar"/>
    <w:uiPriority w:val="99"/>
    <w:unhideWhenUsed/>
    <w:rsid w:val="001F407A"/>
    <w:pPr>
      <w:tabs>
        <w:tab w:val="center" w:pos="4513"/>
        <w:tab w:val="right" w:pos="9026"/>
      </w:tabs>
    </w:pPr>
  </w:style>
  <w:style w:type="character" w:customStyle="1" w:styleId="FooterChar">
    <w:name w:val="Footer Char"/>
    <w:basedOn w:val="DefaultParagraphFont"/>
    <w:link w:val="Footer"/>
    <w:uiPriority w:val="99"/>
    <w:rsid w:val="001F407A"/>
    <w:rPr>
      <w:rFonts w:ascii="Times New Roman" w:hAnsi="Times New Roman"/>
      <w:sz w:val="28"/>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733">
      <w:bodyDiv w:val="1"/>
      <w:marLeft w:val="0"/>
      <w:marRight w:val="0"/>
      <w:marTop w:val="0"/>
      <w:marBottom w:val="0"/>
      <w:divBdr>
        <w:top w:val="none" w:sz="0" w:space="0" w:color="auto"/>
        <w:left w:val="none" w:sz="0" w:space="0" w:color="auto"/>
        <w:bottom w:val="none" w:sz="0" w:space="0" w:color="auto"/>
        <w:right w:val="none" w:sz="0" w:space="0" w:color="auto"/>
      </w:divBdr>
    </w:div>
    <w:div w:id="23025563">
      <w:bodyDiv w:val="1"/>
      <w:marLeft w:val="0"/>
      <w:marRight w:val="0"/>
      <w:marTop w:val="0"/>
      <w:marBottom w:val="0"/>
      <w:divBdr>
        <w:top w:val="none" w:sz="0" w:space="0" w:color="auto"/>
        <w:left w:val="none" w:sz="0" w:space="0" w:color="auto"/>
        <w:bottom w:val="none" w:sz="0" w:space="0" w:color="auto"/>
        <w:right w:val="none" w:sz="0" w:space="0" w:color="auto"/>
      </w:divBdr>
      <w:divsChild>
        <w:div w:id="1296569874">
          <w:marLeft w:val="357"/>
          <w:marRight w:val="0"/>
          <w:marTop w:val="0"/>
          <w:marBottom w:val="0"/>
          <w:divBdr>
            <w:top w:val="none" w:sz="0" w:space="0" w:color="auto"/>
            <w:left w:val="none" w:sz="0" w:space="0" w:color="auto"/>
            <w:bottom w:val="none" w:sz="0" w:space="0" w:color="auto"/>
            <w:right w:val="none" w:sz="0" w:space="0" w:color="auto"/>
          </w:divBdr>
        </w:div>
        <w:div w:id="996882823">
          <w:marLeft w:val="357"/>
          <w:marRight w:val="0"/>
          <w:marTop w:val="0"/>
          <w:marBottom w:val="0"/>
          <w:divBdr>
            <w:top w:val="none" w:sz="0" w:space="0" w:color="auto"/>
            <w:left w:val="none" w:sz="0" w:space="0" w:color="auto"/>
            <w:bottom w:val="none" w:sz="0" w:space="0" w:color="auto"/>
            <w:right w:val="none" w:sz="0" w:space="0" w:color="auto"/>
          </w:divBdr>
        </w:div>
      </w:divsChild>
    </w:div>
    <w:div w:id="36242758">
      <w:bodyDiv w:val="1"/>
      <w:marLeft w:val="0"/>
      <w:marRight w:val="0"/>
      <w:marTop w:val="0"/>
      <w:marBottom w:val="0"/>
      <w:divBdr>
        <w:top w:val="none" w:sz="0" w:space="0" w:color="auto"/>
        <w:left w:val="none" w:sz="0" w:space="0" w:color="auto"/>
        <w:bottom w:val="none" w:sz="0" w:space="0" w:color="auto"/>
        <w:right w:val="none" w:sz="0" w:space="0" w:color="auto"/>
      </w:divBdr>
    </w:div>
    <w:div w:id="157968095">
      <w:bodyDiv w:val="1"/>
      <w:marLeft w:val="0"/>
      <w:marRight w:val="0"/>
      <w:marTop w:val="0"/>
      <w:marBottom w:val="0"/>
      <w:divBdr>
        <w:top w:val="none" w:sz="0" w:space="0" w:color="auto"/>
        <w:left w:val="none" w:sz="0" w:space="0" w:color="auto"/>
        <w:bottom w:val="none" w:sz="0" w:space="0" w:color="auto"/>
        <w:right w:val="none" w:sz="0" w:space="0" w:color="auto"/>
      </w:divBdr>
    </w:div>
    <w:div w:id="1588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125187">
          <w:marLeft w:val="0"/>
          <w:marRight w:val="0"/>
          <w:marTop w:val="0"/>
          <w:marBottom w:val="0"/>
          <w:divBdr>
            <w:top w:val="none" w:sz="0" w:space="0" w:color="auto"/>
            <w:left w:val="none" w:sz="0" w:space="0" w:color="auto"/>
            <w:bottom w:val="none" w:sz="0" w:space="0" w:color="auto"/>
            <w:right w:val="none" w:sz="0" w:space="0" w:color="auto"/>
          </w:divBdr>
        </w:div>
        <w:div w:id="826243271">
          <w:marLeft w:val="0"/>
          <w:marRight w:val="0"/>
          <w:marTop w:val="0"/>
          <w:marBottom w:val="0"/>
          <w:divBdr>
            <w:top w:val="none" w:sz="0" w:space="0" w:color="auto"/>
            <w:left w:val="none" w:sz="0" w:space="0" w:color="auto"/>
            <w:bottom w:val="none" w:sz="0" w:space="0" w:color="auto"/>
            <w:right w:val="none" w:sz="0" w:space="0" w:color="auto"/>
          </w:divBdr>
        </w:div>
      </w:divsChild>
    </w:div>
    <w:div w:id="232587371">
      <w:bodyDiv w:val="1"/>
      <w:marLeft w:val="0"/>
      <w:marRight w:val="0"/>
      <w:marTop w:val="0"/>
      <w:marBottom w:val="0"/>
      <w:divBdr>
        <w:top w:val="none" w:sz="0" w:space="0" w:color="auto"/>
        <w:left w:val="none" w:sz="0" w:space="0" w:color="auto"/>
        <w:bottom w:val="none" w:sz="0" w:space="0" w:color="auto"/>
        <w:right w:val="none" w:sz="0" w:space="0" w:color="auto"/>
      </w:divBdr>
    </w:div>
    <w:div w:id="256252815">
      <w:bodyDiv w:val="1"/>
      <w:marLeft w:val="0"/>
      <w:marRight w:val="0"/>
      <w:marTop w:val="0"/>
      <w:marBottom w:val="0"/>
      <w:divBdr>
        <w:top w:val="none" w:sz="0" w:space="0" w:color="auto"/>
        <w:left w:val="none" w:sz="0" w:space="0" w:color="auto"/>
        <w:bottom w:val="none" w:sz="0" w:space="0" w:color="auto"/>
        <w:right w:val="none" w:sz="0" w:space="0" w:color="auto"/>
      </w:divBdr>
    </w:div>
    <w:div w:id="456489466">
      <w:bodyDiv w:val="1"/>
      <w:marLeft w:val="0"/>
      <w:marRight w:val="0"/>
      <w:marTop w:val="0"/>
      <w:marBottom w:val="0"/>
      <w:divBdr>
        <w:top w:val="none" w:sz="0" w:space="0" w:color="auto"/>
        <w:left w:val="none" w:sz="0" w:space="0" w:color="auto"/>
        <w:bottom w:val="none" w:sz="0" w:space="0" w:color="auto"/>
        <w:right w:val="none" w:sz="0" w:space="0" w:color="auto"/>
      </w:divBdr>
      <w:divsChild>
        <w:div w:id="1675765999">
          <w:marLeft w:val="0"/>
          <w:marRight w:val="0"/>
          <w:marTop w:val="0"/>
          <w:marBottom w:val="0"/>
          <w:divBdr>
            <w:top w:val="none" w:sz="0" w:space="0" w:color="auto"/>
            <w:left w:val="none" w:sz="0" w:space="0" w:color="auto"/>
            <w:bottom w:val="none" w:sz="0" w:space="0" w:color="auto"/>
            <w:right w:val="none" w:sz="0" w:space="0" w:color="auto"/>
          </w:divBdr>
        </w:div>
        <w:div w:id="1822690309">
          <w:marLeft w:val="0"/>
          <w:marRight w:val="0"/>
          <w:marTop w:val="0"/>
          <w:marBottom w:val="0"/>
          <w:divBdr>
            <w:top w:val="none" w:sz="0" w:space="0" w:color="auto"/>
            <w:left w:val="none" w:sz="0" w:space="0" w:color="auto"/>
            <w:bottom w:val="none" w:sz="0" w:space="0" w:color="auto"/>
            <w:right w:val="none" w:sz="0" w:space="0" w:color="auto"/>
          </w:divBdr>
        </w:div>
      </w:divsChild>
    </w:div>
    <w:div w:id="556815410">
      <w:bodyDiv w:val="1"/>
      <w:marLeft w:val="0"/>
      <w:marRight w:val="0"/>
      <w:marTop w:val="0"/>
      <w:marBottom w:val="0"/>
      <w:divBdr>
        <w:top w:val="none" w:sz="0" w:space="0" w:color="auto"/>
        <w:left w:val="none" w:sz="0" w:space="0" w:color="auto"/>
        <w:bottom w:val="none" w:sz="0" w:space="0" w:color="auto"/>
        <w:right w:val="none" w:sz="0" w:space="0" w:color="auto"/>
      </w:divBdr>
    </w:div>
    <w:div w:id="598684880">
      <w:bodyDiv w:val="1"/>
      <w:marLeft w:val="0"/>
      <w:marRight w:val="0"/>
      <w:marTop w:val="0"/>
      <w:marBottom w:val="0"/>
      <w:divBdr>
        <w:top w:val="none" w:sz="0" w:space="0" w:color="auto"/>
        <w:left w:val="none" w:sz="0" w:space="0" w:color="auto"/>
        <w:bottom w:val="none" w:sz="0" w:space="0" w:color="auto"/>
        <w:right w:val="none" w:sz="0" w:space="0" w:color="auto"/>
      </w:divBdr>
    </w:div>
    <w:div w:id="600797258">
      <w:bodyDiv w:val="1"/>
      <w:marLeft w:val="0"/>
      <w:marRight w:val="0"/>
      <w:marTop w:val="0"/>
      <w:marBottom w:val="0"/>
      <w:divBdr>
        <w:top w:val="none" w:sz="0" w:space="0" w:color="auto"/>
        <w:left w:val="none" w:sz="0" w:space="0" w:color="auto"/>
        <w:bottom w:val="none" w:sz="0" w:space="0" w:color="auto"/>
        <w:right w:val="none" w:sz="0" w:space="0" w:color="auto"/>
      </w:divBdr>
    </w:div>
    <w:div w:id="639843292">
      <w:bodyDiv w:val="1"/>
      <w:marLeft w:val="0"/>
      <w:marRight w:val="0"/>
      <w:marTop w:val="0"/>
      <w:marBottom w:val="0"/>
      <w:divBdr>
        <w:top w:val="none" w:sz="0" w:space="0" w:color="auto"/>
        <w:left w:val="none" w:sz="0" w:space="0" w:color="auto"/>
        <w:bottom w:val="none" w:sz="0" w:space="0" w:color="auto"/>
        <w:right w:val="none" w:sz="0" w:space="0" w:color="auto"/>
      </w:divBdr>
    </w:div>
    <w:div w:id="720980561">
      <w:bodyDiv w:val="1"/>
      <w:marLeft w:val="0"/>
      <w:marRight w:val="0"/>
      <w:marTop w:val="0"/>
      <w:marBottom w:val="0"/>
      <w:divBdr>
        <w:top w:val="none" w:sz="0" w:space="0" w:color="auto"/>
        <w:left w:val="none" w:sz="0" w:space="0" w:color="auto"/>
        <w:bottom w:val="none" w:sz="0" w:space="0" w:color="auto"/>
        <w:right w:val="none" w:sz="0" w:space="0" w:color="auto"/>
      </w:divBdr>
    </w:div>
    <w:div w:id="795027632">
      <w:bodyDiv w:val="1"/>
      <w:marLeft w:val="0"/>
      <w:marRight w:val="0"/>
      <w:marTop w:val="0"/>
      <w:marBottom w:val="0"/>
      <w:divBdr>
        <w:top w:val="none" w:sz="0" w:space="0" w:color="auto"/>
        <w:left w:val="none" w:sz="0" w:space="0" w:color="auto"/>
        <w:bottom w:val="none" w:sz="0" w:space="0" w:color="auto"/>
        <w:right w:val="none" w:sz="0" w:space="0" w:color="auto"/>
      </w:divBdr>
      <w:divsChild>
        <w:div w:id="1501693558">
          <w:marLeft w:val="357"/>
          <w:marRight w:val="0"/>
          <w:marTop w:val="0"/>
          <w:marBottom w:val="0"/>
          <w:divBdr>
            <w:top w:val="none" w:sz="0" w:space="0" w:color="auto"/>
            <w:left w:val="none" w:sz="0" w:space="0" w:color="auto"/>
            <w:bottom w:val="none" w:sz="0" w:space="0" w:color="auto"/>
            <w:right w:val="none" w:sz="0" w:space="0" w:color="auto"/>
          </w:divBdr>
        </w:div>
        <w:div w:id="1671370912">
          <w:marLeft w:val="357"/>
          <w:marRight w:val="0"/>
          <w:marTop w:val="0"/>
          <w:marBottom w:val="0"/>
          <w:divBdr>
            <w:top w:val="none" w:sz="0" w:space="0" w:color="auto"/>
            <w:left w:val="none" w:sz="0" w:space="0" w:color="auto"/>
            <w:bottom w:val="none" w:sz="0" w:space="0" w:color="auto"/>
            <w:right w:val="none" w:sz="0" w:space="0" w:color="auto"/>
          </w:divBdr>
        </w:div>
      </w:divsChild>
    </w:div>
    <w:div w:id="815800386">
      <w:bodyDiv w:val="1"/>
      <w:marLeft w:val="0"/>
      <w:marRight w:val="0"/>
      <w:marTop w:val="0"/>
      <w:marBottom w:val="0"/>
      <w:divBdr>
        <w:top w:val="none" w:sz="0" w:space="0" w:color="auto"/>
        <w:left w:val="none" w:sz="0" w:space="0" w:color="auto"/>
        <w:bottom w:val="none" w:sz="0" w:space="0" w:color="auto"/>
        <w:right w:val="none" w:sz="0" w:space="0" w:color="auto"/>
      </w:divBdr>
    </w:div>
    <w:div w:id="1041595056">
      <w:bodyDiv w:val="1"/>
      <w:marLeft w:val="0"/>
      <w:marRight w:val="0"/>
      <w:marTop w:val="0"/>
      <w:marBottom w:val="0"/>
      <w:divBdr>
        <w:top w:val="none" w:sz="0" w:space="0" w:color="auto"/>
        <w:left w:val="none" w:sz="0" w:space="0" w:color="auto"/>
        <w:bottom w:val="none" w:sz="0" w:space="0" w:color="auto"/>
        <w:right w:val="none" w:sz="0" w:space="0" w:color="auto"/>
      </w:divBdr>
    </w:div>
    <w:div w:id="1188374919">
      <w:bodyDiv w:val="1"/>
      <w:marLeft w:val="0"/>
      <w:marRight w:val="0"/>
      <w:marTop w:val="0"/>
      <w:marBottom w:val="0"/>
      <w:divBdr>
        <w:top w:val="none" w:sz="0" w:space="0" w:color="auto"/>
        <w:left w:val="none" w:sz="0" w:space="0" w:color="auto"/>
        <w:bottom w:val="none" w:sz="0" w:space="0" w:color="auto"/>
        <w:right w:val="none" w:sz="0" w:space="0" w:color="auto"/>
      </w:divBdr>
    </w:div>
    <w:div w:id="1232614303">
      <w:bodyDiv w:val="1"/>
      <w:marLeft w:val="0"/>
      <w:marRight w:val="0"/>
      <w:marTop w:val="0"/>
      <w:marBottom w:val="0"/>
      <w:divBdr>
        <w:top w:val="none" w:sz="0" w:space="0" w:color="auto"/>
        <w:left w:val="none" w:sz="0" w:space="0" w:color="auto"/>
        <w:bottom w:val="none" w:sz="0" w:space="0" w:color="auto"/>
        <w:right w:val="none" w:sz="0" w:space="0" w:color="auto"/>
      </w:divBdr>
    </w:div>
    <w:div w:id="1309244463">
      <w:bodyDiv w:val="1"/>
      <w:marLeft w:val="0"/>
      <w:marRight w:val="0"/>
      <w:marTop w:val="0"/>
      <w:marBottom w:val="0"/>
      <w:divBdr>
        <w:top w:val="none" w:sz="0" w:space="0" w:color="auto"/>
        <w:left w:val="none" w:sz="0" w:space="0" w:color="auto"/>
        <w:bottom w:val="none" w:sz="0" w:space="0" w:color="auto"/>
        <w:right w:val="none" w:sz="0" w:space="0" w:color="auto"/>
      </w:divBdr>
    </w:div>
    <w:div w:id="1366178101">
      <w:bodyDiv w:val="1"/>
      <w:marLeft w:val="0"/>
      <w:marRight w:val="0"/>
      <w:marTop w:val="0"/>
      <w:marBottom w:val="0"/>
      <w:divBdr>
        <w:top w:val="none" w:sz="0" w:space="0" w:color="auto"/>
        <w:left w:val="none" w:sz="0" w:space="0" w:color="auto"/>
        <w:bottom w:val="none" w:sz="0" w:space="0" w:color="auto"/>
        <w:right w:val="none" w:sz="0" w:space="0" w:color="auto"/>
      </w:divBdr>
      <w:divsChild>
        <w:div w:id="140076146">
          <w:marLeft w:val="0"/>
          <w:marRight w:val="0"/>
          <w:marTop w:val="0"/>
          <w:marBottom w:val="0"/>
          <w:divBdr>
            <w:top w:val="none" w:sz="0" w:space="0" w:color="auto"/>
            <w:left w:val="none" w:sz="0" w:space="0" w:color="auto"/>
            <w:bottom w:val="none" w:sz="0" w:space="0" w:color="auto"/>
            <w:right w:val="none" w:sz="0" w:space="0" w:color="auto"/>
          </w:divBdr>
        </w:div>
        <w:div w:id="301232173">
          <w:marLeft w:val="0"/>
          <w:marRight w:val="0"/>
          <w:marTop w:val="0"/>
          <w:marBottom w:val="0"/>
          <w:divBdr>
            <w:top w:val="none" w:sz="0" w:space="0" w:color="auto"/>
            <w:left w:val="none" w:sz="0" w:space="0" w:color="auto"/>
            <w:bottom w:val="none" w:sz="0" w:space="0" w:color="auto"/>
            <w:right w:val="none" w:sz="0" w:space="0" w:color="auto"/>
          </w:divBdr>
        </w:div>
        <w:div w:id="443692817">
          <w:marLeft w:val="0"/>
          <w:marRight w:val="0"/>
          <w:marTop w:val="0"/>
          <w:marBottom w:val="0"/>
          <w:divBdr>
            <w:top w:val="none" w:sz="0" w:space="0" w:color="auto"/>
            <w:left w:val="none" w:sz="0" w:space="0" w:color="auto"/>
            <w:bottom w:val="none" w:sz="0" w:space="0" w:color="auto"/>
            <w:right w:val="none" w:sz="0" w:space="0" w:color="auto"/>
          </w:divBdr>
        </w:div>
        <w:div w:id="537355970">
          <w:marLeft w:val="0"/>
          <w:marRight w:val="0"/>
          <w:marTop w:val="0"/>
          <w:marBottom w:val="0"/>
          <w:divBdr>
            <w:top w:val="none" w:sz="0" w:space="0" w:color="auto"/>
            <w:left w:val="none" w:sz="0" w:space="0" w:color="auto"/>
            <w:bottom w:val="none" w:sz="0" w:space="0" w:color="auto"/>
            <w:right w:val="none" w:sz="0" w:space="0" w:color="auto"/>
          </w:divBdr>
        </w:div>
      </w:divsChild>
    </w:div>
    <w:div w:id="1812168150">
      <w:bodyDiv w:val="1"/>
      <w:marLeft w:val="0"/>
      <w:marRight w:val="0"/>
      <w:marTop w:val="0"/>
      <w:marBottom w:val="0"/>
      <w:divBdr>
        <w:top w:val="none" w:sz="0" w:space="0" w:color="auto"/>
        <w:left w:val="none" w:sz="0" w:space="0" w:color="auto"/>
        <w:bottom w:val="none" w:sz="0" w:space="0" w:color="auto"/>
        <w:right w:val="none" w:sz="0" w:space="0" w:color="auto"/>
      </w:divBdr>
      <w:divsChild>
        <w:div w:id="431559398">
          <w:marLeft w:val="0"/>
          <w:marRight w:val="0"/>
          <w:marTop w:val="0"/>
          <w:marBottom w:val="0"/>
          <w:divBdr>
            <w:top w:val="none" w:sz="0" w:space="0" w:color="auto"/>
            <w:left w:val="none" w:sz="0" w:space="0" w:color="auto"/>
            <w:bottom w:val="none" w:sz="0" w:space="0" w:color="auto"/>
            <w:right w:val="none" w:sz="0" w:space="0" w:color="auto"/>
          </w:divBdr>
        </w:div>
        <w:div w:id="354842121">
          <w:marLeft w:val="0"/>
          <w:marRight w:val="0"/>
          <w:marTop w:val="0"/>
          <w:marBottom w:val="0"/>
          <w:divBdr>
            <w:top w:val="none" w:sz="0" w:space="0" w:color="auto"/>
            <w:left w:val="none" w:sz="0" w:space="0" w:color="auto"/>
            <w:bottom w:val="none" w:sz="0" w:space="0" w:color="auto"/>
            <w:right w:val="none" w:sz="0" w:space="0" w:color="auto"/>
          </w:divBdr>
        </w:div>
      </w:divsChild>
    </w:div>
    <w:div w:id="1817382188">
      <w:bodyDiv w:val="1"/>
      <w:marLeft w:val="0"/>
      <w:marRight w:val="0"/>
      <w:marTop w:val="0"/>
      <w:marBottom w:val="0"/>
      <w:divBdr>
        <w:top w:val="none" w:sz="0" w:space="0" w:color="auto"/>
        <w:left w:val="none" w:sz="0" w:space="0" w:color="auto"/>
        <w:bottom w:val="none" w:sz="0" w:space="0" w:color="auto"/>
        <w:right w:val="none" w:sz="0" w:space="0" w:color="auto"/>
      </w:divBdr>
      <w:divsChild>
        <w:div w:id="48265820">
          <w:marLeft w:val="0"/>
          <w:marRight w:val="0"/>
          <w:marTop w:val="0"/>
          <w:marBottom w:val="0"/>
          <w:divBdr>
            <w:top w:val="none" w:sz="0" w:space="0" w:color="auto"/>
            <w:left w:val="none" w:sz="0" w:space="0" w:color="auto"/>
            <w:bottom w:val="none" w:sz="0" w:space="0" w:color="auto"/>
            <w:right w:val="none" w:sz="0" w:space="0" w:color="auto"/>
          </w:divBdr>
        </w:div>
        <w:div w:id="1285572776">
          <w:marLeft w:val="0"/>
          <w:marRight w:val="0"/>
          <w:marTop w:val="0"/>
          <w:marBottom w:val="0"/>
          <w:divBdr>
            <w:top w:val="none" w:sz="0" w:space="0" w:color="auto"/>
            <w:left w:val="none" w:sz="0" w:space="0" w:color="auto"/>
            <w:bottom w:val="none" w:sz="0" w:space="0" w:color="auto"/>
            <w:right w:val="none" w:sz="0" w:space="0" w:color="auto"/>
          </w:divBdr>
        </w:div>
      </w:divsChild>
    </w:div>
    <w:div w:id="1826703163">
      <w:bodyDiv w:val="1"/>
      <w:marLeft w:val="0"/>
      <w:marRight w:val="0"/>
      <w:marTop w:val="0"/>
      <w:marBottom w:val="0"/>
      <w:divBdr>
        <w:top w:val="none" w:sz="0" w:space="0" w:color="auto"/>
        <w:left w:val="none" w:sz="0" w:space="0" w:color="auto"/>
        <w:bottom w:val="none" w:sz="0" w:space="0" w:color="auto"/>
        <w:right w:val="none" w:sz="0" w:space="0" w:color="auto"/>
      </w:divBdr>
    </w:div>
    <w:div w:id="1856963088">
      <w:bodyDiv w:val="1"/>
      <w:marLeft w:val="0"/>
      <w:marRight w:val="0"/>
      <w:marTop w:val="0"/>
      <w:marBottom w:val="0"/>
      <w:divBdr>
        <w:top w:val="none" w:sz="0" w:space="0" w:color="auto"/>
        <w:left w:val="none" w:sz="0" w:space="0" w:color="auto"/>
        <w:bottom w:val="none" w:sz="0" w:space="0" w:color="auto"/>
        <w:right w:val="none" w:sz="0" w:space="0" w:color="auto"/>
      </w:divBdr>
    </w:div>
    <w:div w:id="1876036248">
      <w:bodyDiv w:val="1"/>
      <w:marLeft w:val="0"/>
      <w:marRight w:val="0"/>
      <w:marTop w:val="0"/>
      <w:marBottom w:val="0"/>
      <w:divBdr>
        <w:top w:val="none" w:sz="0" w:space="0" w:color="auto"/>
        <w:left w:val="none" w:sz="0" w:space="0" w:color="auto"/>
        <w:bottom w:val="none" w:sz="0" w:space="0" w:color="auto"/>
        <w:right w:val="none" w:sz="0" w:space="0" w:color="auto"/>
      </w:divBdr>
    </w:div>
    <w:div w:id="1879849540">
      <w:bodyDiv w:val="1"/>
      <w:marLeft w:val="0"/>
      <w:marRight w:val="0"/>
      <w:marTop w:val="0"/>
      <w:marBottom w:val="0"/>
      <w:divBdr>
        <w:top w:val="none" w:sz="0" w:space="0" w:color="auto"/>
        <w:left w:val="none" w:sz="0" w:space="0" w:color="auto"/>
        <w:bottom w:val="none" w:sz="0" w:space="0" w:color="auto"/>
        <w:right w:val="none" w:sz="0" w:space="0" w:color="auto"/>
      </w:divBdr>
    </w:div>
    <w:div w:id="203018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7705E-F311-425D-98C0-D9EA0B3D5F30}">
  <ds:schemaRefs>
    <ds:schemaRef ds:uri="http://schemas.openxmlformats.org/officeDocument/2006/bibliography"/>
  </ds:schemaRefs>
</ds:datastoreItem>
</file>

<file path=customXml/itemProps2.xml><?xml version="1.0" encoding="utf-8"?>
<ds:datastoreItem xmlns:ds="http://schemas.openxmlformats.org/officeDocument/2006/customXml" ds:itemID="{0CFB7FBC-81BC-4C9F-B8F7-A4B1FC5DAD77}"/>
</file>

<file path=customXml/itemProps3.xml><?xml version="1.0" encoding="utf-8"?>
<ds:datastoreItem xmlns:ds="http://schemas.openxmlformats.org/officeDocument/2006/customXml" ds:itemID="{62ECBD52-B1EA-4B58-947E-8843EC32F2CC}"/>
</file>

<file path=customXml/itemProps4.xml><?xml version="1.0" encoding="utf-8"?>
<ds:datastoreItem xmlns:ds="http://schemas.openxmlformats.org/officeDocument/2006/customXml" ds:itemID="{0EB33C00-32E2-4FD2-B619-57140C14CABA}"/>
</file>

<file path=docProps/app.xml><?xml version="1.0" encoding="utf-8"?>
<Properties xmlns="http://schemas.openxmlformats.org/officeDocument/2006/extended-properties" xmlns:vt="http://schemas.openxmlformats.org/officeDocument/2006/docPropsVTypes">
  <Template>Normal</Template>
  <TotalTime>0</TotalTime>
  <Pages>16</Pages>
  <Words>4551</Words>
  <Characters>25947</Characters>
  <Application>Microsoft Office Word</Application>
  <DocSecurity>0</DocSecurity>
  <Lines>216</Lines>
  <Paragraphs>60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Tuanta</dc:creator>
  <cp:lastModifiedBy>Customer</cp:lastModifiedBy>
  <cp:revision>2</cp:revision>
  <cp:lastPrinted>2020-04-23T01:57:00Z</cp:lastPrinted>
  <dcterms:created xsi:type="dcterms:W3CDTF">2020-08-10T18:02:00Z</dcterms:created>
  <dcterms:modified xsi:type="dcterms:W3CDTF">2020-08-10T18:02:00Z</dcterms:modified>
</cp:coreProperties>
</file>